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auto"/>
        <w:spacing w:line="360" w:lineRule="auto"/>
        <w:jc w:val="center"/>
        <w:rPr>
          <w:rStyle w:val="13"/>
          <w:rFonts w:ascii="GHEA Grapalat" w:hAnsi="GHEA Grapalat"/>
          <w:b/>
          <w:bCs/>
          <w:sz w:val="21"/>
          <w:szCs w:val="21"/>
        </w:rPr>
      </w:pPr>
      <w:r>
        <w:rPr>
          <w:rStyle w:val="16"/>
          <w:rFonts w:ascii="GHEA Grapalat" w:hAnsi="GHEA Grapalat" w:cs="Sylfaen"/>
          <w:b/>
          <w:bCs/>
        </w:rPr>
        <w:t>ՀԱՅՏԱՐԱՐՈՒԹՅՈՒՆ</w:t>
      </w:r>
    </w:p>
    <w:p>
      <w:pPr>
        <w:pStyle w:val="12"/>
        <w:shd w:val="clear" w:color="auto" w:fill="auto"/>
        <w:spacing w:after="0" w:line="360" w:lineRule="auto"/>
        <w:rPr>
          <w:rFonts w:ascii="GHEA Grapalat" w:hAnsi="GHEA Grapalat"/>
        </w:rPr>
      </w:pPr>
      <w:r>
        <w:rPr>
          <w:rStyle w:val="13"/>
          <w:rFonts w:ascii="GHEA Grapalat" w:hAnsi="GHEA Grapalat"/>
          <w:b/>
          <w:bCs/>
        </w:rPr>
        <w:t>ԱՐՏԱՔԻՆ ՇԱՀԱՌՈՒՆԵՐԻ ՀԵՏ ԽՈՐՀՐԴԱԿՑՈՒԹՅՈՒՆՆԵՐԻ ԱՐԴՅՈՒՆՔՆԵՐՈՎ</w:t>
      </w:r>
      <w:r>
        <w:rPr>
          <w:rStyle w:val="13"/>
          <w:rFonts w:ascii="GHEA Grapalat" w:hAnsi="GHEA Grapalat"/>
          <w:b/>
          <w:bCs/>
        </w:rPr>
        <w:br w:type="textWrapping"/>
      </w:r>
      <w:r>
        <w:rPr>
          <w:rStyle w:val="13"/>
          <w:rFonts w:ascii="GHEA Grapalat" w:hAnsi="GHEA Grapalat"/>
          <w:b/>
          <w:bCs/>
        </w:rPr>
        <w:t>ՀԱՅԱՍՏԱՆԻ ՊԵՏԱԿԱՆ ՏՆՏԵՍԱԳԻՏԱԿԱՆ ՀԱՄԱԼՍԱՐԱՆԻ «ԱՄԲԵՐԴ»</w:t>
      </w:r>
      <w:r>
        <w:rPr>
          <w:rStyle w:val="13"/>
          <w:rFonts w:ascii="GHEA Grapalat" w:hAnsi="GHEA Grapalat"/>
          <w:b/>
          <w:bCs/>
        </w:rPr>
        <w:br w:type="textWrapping"/>
      </w:r>
      <w:r>
        <w:rPr>
          <w:rStyle w:val="13"/>
          <w:rFonts w:ascii="GHEA Grapalat" w:hAnsi="GHEA Grapalat"/>
          <w:b/>
          <w:bCs/>
        </w:rPr>
        <w:t>ՀԵՏԱԶՈՏԱԿԱՆ ԿԵՆՏՐՈՆԻ ԿՈՂՄԻՑ ՈՒՍԱՆՈՂՆԵՐԻ, ՄԱԳԻՍՏՐԱՆՏՆԵՐԻ ԵՎ ԱՍՊԻՐԱՆՏՆԵՐԻ ՆԵՐԳՐԱՎՄԱՄԲ ԳԻՏԱԿԱՆ ՀԵՏԱԶՈՏՈՒԹՅԱՆ ՄՐՑՈՒՅԹԻ</w:t>
      </w:r>
    </w:p>
    <w:p>
      <w:pPr>
        <w:pStyle w:val="18"/>
        <w:shd w:val="clear" w:color="auto" w:fill="auto"/>
        <w:spacing w:before="0" w:after="0" w:line="360" w:lineRule="auto"/>
        <w:ind w:firstLine="440"/>
        <w:rPr>
          <w:rFonts w:ascii="GHEA Grapalat" w:hAnsi="GHEA Grapalat"/>
          <w:b/>
          <w:sz w:val="24"/>
        </w:rPr>
      </w:pPr>
      <w:r>
        <w:rPr>
          <w:rFonts w:ascii="GHEA Grapalat" w:hAnsi="GHEA Grapalat"/>
          <w:sz w:val="24"/>
        </w:rPr>
        <w:t>Հայաստանի պետական տնտեսագիտական համալսարանի (այսուհետ՝ Համալ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սարան) «Ամբերդ» հետազո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կան կենտրոնը (այսուհետ՝ Կենտրոն), Համալսարանի հետազոտական կարողությունների բարելավման և սե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փական հետազոտական ներուժը պետական շահերին ի նպաստ բերելու, ինչպես նաև հանրային հետաքրքրություն ներկայացնող կիրառական հետազո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տությունների իրակա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նացման և հրապարակման, ընթացիկ հետազոտական աշխատանքներում Համալսա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րանի ուսանողների, մագիստրոսների և ասպի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րանտ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ներգրավ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ման, ինչպես նաև օտարալեզու հետազոտությունների հրապարա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կումների ավելացման նպատակով՝ արտաքին շահա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ռուների հետ խորհրդակցութ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յուն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արդյունքում հայտա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 xml:space="preserve">րարում է </w:t>
      </w:r>
      <w:r>
        <w:rPr>
          <w:rStyle w:val="13"/>
          <w:rFonts w:ascii="GHEA Grapalat" w:hAnsi="GHEA Grapalat"/>
          <w:b w:val="0"/>
          <w:bCs w:val="0"/>
        </w:rPr>
        <w:t>ուսանողների, մագիստ</w:t>
      </w:r>
      <w:r>
        <w:rPr>
          <w:rStyle w:val="13"/>
          <w:rFonts w:ascii="GHEA Grapalat" w:hAnsi="GHEA Grapalat"/>
          <w:b w:val="0"/>
          <w:bCs w:val="0"/>
        </w:rPr>
        <w:softHyphen/>
      </w:r>
      <w:r>
        <w:rPr>
          <w:rStyle w:val="13"/>
          <w:rFonts w:ascii="GHEA Grapalat" w:hAnsi="GHEA Grapalat"/>
          <w:b w:val="0"/>
          <w:bCs w:val="0"/>
        </w:rPr>
        <w:t>րանտների և ասպիրանտների ներգրավմամբ</w:t>
      </w:r>
      <w:r>
        <w:rPr>
          <w:rFonts w:ascii="GHEA Grapalat" w:hAnsi="GHEA Grapalat"/>
          <w:sz w:val="24"/>
        </w:rPr>
        <w:t xml:space="preserve"> հետազոտական ծրագրի իրակա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 xml:space="preserve">նացման մրցույթ </w:t>
      </w:r>
      <w:r>
        <w:rPr>
          <w:rFonts w:ascii="GHEA Grapalat" w:hAnsi="GHEA Grapalat"/>
          <w:b/>
          <w:sz w:val="24"/>
        </w:rPr>
        <w:t>հետևյալ թեմայով.</w:t>
      </w:r>
    </w:p>
    <w:p>
      <w:pPr>
        <w:pStyle w:val="20"/>
        <w:keepNext/>
        <w:keepLines/>
        <w:shd w:val="clear" w:color="auto" w:fill="auto"/>
        <w:tabs>
          <w:tab w:val="left" w:pos="800"/>
        </w:tabs>
        <w:spacing w:before="0" w:line="360" w:lineRule="auto"/>
        <w:ind w:firstLine="0"/>
        <w:jc w:val="center"/>
        <w:rPr>
          <w:rFonts w:ascii="GHEA Grapalat" w:hAnsi="GHEA Grapalat"/>
          <w:color w:val="auto"/>
          <w:sz w:val="24"/>
        </w:rPr>
      </w:pPr>
      <w:r>
        <w:rPr>
          <w:rFonts w:ascii="GHEA Grapalat" w:hAnsi="GHEA Grapalat"/>
          <w:color w:val="auto"/>
          <w:sz w:val="24"/>
        </w:rPr>
        <w:t>ՊԵՏԱԿԱՆ ՄԱՍՆԱԿՑՈՒԹՅԱՄԲ ԲԺՇԿԱԿԱՆ ԿԱԶՄԱԿԵՐ</w:t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t>ՊՈՒԹ</w:t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t>ՅՈՒՆ</w:t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t>ՆԵՐԻ ԿԱ</w:t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t>ՌԱ</w:t>
      </w:r>
      <w:r>
        <w:rPr>
          <w:rFonts w:ascii="GHEA Grapalat" w:hAnsi="GHEA Grapalat"/>
          <w:color w:val="auto"/>
          <w:sz w:val="24"/>
        </w:rPr>
        <w:softHyphen/>
      </w:r>
      <w:r>
        <w:rPr>
          <w:rFonts w:ascii="GHEA Grapalat" w:hAnsi="GHEA Grapalat"/>
          <w:color w:val="auto"/>
          <w:sz w:val="24"/>
        </w:rPr>
        <w:t>ՎԱՐՄԱՆ ԱՐԴՅՈՒՆԱՎԵՏՈՒԹՅԱՆ ԳՆԱՀԱՏՈՒՄ</w:t>
      </w:r>
    </w:p>
    <w:p>
      <w:pPr>
        <w:pStyle w:val="18"/>
        <w:shd w:val="clear" w:color="auto" w:fill="auto"/>
        <w:spacing w:before="0" w:after="0" w:line="360" w:lineRule="auto"/>
        <w:ind w:firstLine="440"/>
        <w:rPr>
          <w:rFonts w:ascii="GHEA Grapalat" w:hAnsi="GHEA Grapalat"/>
          <w:b/>
          <w:sz w:val="24"/>
        </w:rPr>
      </w:pPr>
    </w:p>
    <w:p>
      <w:pPr>
        <w:pStyle w:val="18"/>
        <w:shd w:val="clear" w:color="auto" w:fill="auto"/>
        <w:spacing w:before="0" w:after="0" w:line="360" w:lineRule="auto"/>
        <w:ind w:firstLine="440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1. ՏԵԽՆԻԿԱԿԱՆ ԱՌԱՋԱԴՐԱՆՔԸ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1.1. Թեմայի շրջանակում լուծվելիք խնդիրները: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bCs/>
          <w:color w:val="auto"/>
          <w:sz w:val="24"/>
        </w:rPr>
      </w:pPr>
      <w:r>
        <w:rPr>
          <w:rFonts w:ascii="GHEA Grapalat" w:hAnsi="GHEA Grapalat"/>
          <w:bCs/>
          <w:color w:val="auto"/>
          <w:sz w:val="24"/>
        </w:rPr>
        <w:t>Վերլուծել ՀՀ կառավարման համակարգում տարբեր գերատեսչական պատկանելության պետական մասնակցությամբ բժշկական կազմակերպությունների արդի վիճակը, նրանց տեղաբաշխածությունը հանրապետությունում, գնահատել դրանց ներազդեցության չափա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 xml:space="preserve">բաժինը </w:t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t>քաղաքային և գյուղական բնակավայրերում առողջապահական կազմակերպութ</w:t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softHyphen/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t>յուն</w:t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softHyphen/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t>ների և բժշկական ծառայությունների հասանելիության համաչափ զարգացման և հանրու</w:t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softHyphen/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t>թյան առողջության ցուցանիշների բարելավման ապահովման համատեքսում։ Գնահատել կազմա</w:t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softHyphen/>
      </w:r>
      <w:r>
        <w:rPr>
          <w:rFonts w:ascii="GHEA Grapalat" w:hAnsi="GHEA Grapalat" w:eastAsia="Times New Roman" w:cs="Times New Roman"/>
          <w:bCs/>
          <w:color w:val="auto"/>
          <w:sz w:val="24"/>
          <w:szCs w:val="24"/>
        </w:rPr>
        <w:t xml:space="preserve">կերպությունների կառավարման արդյունավետությանը խոչընդոտող </w:t>
      </w:r>
      <w:r>
        <w:rPr>
          <w:rFonts w:ascii="GHEA Grapalat" w:hAnsi="GHEA Grapalat"/>
          <w:bCs/>
          <w:color w:val="auto"/>
          <w:sz w:val="24"/>
        </w:rPr>
        <w:t>գործոնները և ուսումնա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սիրել դրանց հաղթահարմանն ուղղված հնարա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վոր ուղղությունները։ Ուսումնասիրել բարձր և միջին օղակի կառավարիչների կողմից կազմակերպության կառավարման ժամանակ կիրառ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վող սկզբունքների գերակայությունները, կառավարման արդյունավետության համատեքստում։ Ուսումնասիրել պետական մասնակցությամբ բժշկական կազմակերպությունների կազմակեր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պա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իրավական ձևի արդիականությունը և այլընտրանքային մոդելների կիրառման հնարա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 xml:space="preserve">վորությունն ու նպատակահարմարությունը։ </w:t>
      </w:r>
    </w:p>
    <w:p>
      <w:pPr>
        <w:pStyle w:val="23"/>
        <w:shd w:val="clear" w:color="auto" w:fill="auto"/>
        <w:spacing w:line="360" w:lineRule="auto"/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</w:pPr>
      <w:r>
        <w:rPr>
          <w:rFonts w:ascii="GHEA Grapalat" w:hAnsi="GHEA Grapalat"/>
          <w:sz w:val="24"/>
        </w:rPr>
        <w:t>1.2. Աշխատանքային լեզուն։</w:t>
      </w: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 xml:space="preserve"> </w:t>
      </w:r>
    </w:p>
    <w:p>
      <w:pPr>
        <w:pStyle w:val="23"/>
        <w:shd w:val="clear" w:color="auto" w:fill="auto"/>
        <w:spacing w:line="360" w:lineRule="auto"/>
        <w:rPr>
          <w:rFonts w:ascii="GHEA Grapalat" w:hAnsi="GHEA Grapalat"/>
          <w:sz w:val="24"/>
        </w:rPr>
      </w:pP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>Հայերեն։</w:t>
      </w:r>
    </w:p>
    <w:p>
      <w:pPr>
        <w:pStyle w:val="23"/>
        <w:shd w:val="clear" w:color="auto" w:fill="auto"/>
        <w:spacing w:line="360" w:lineRule="auto"/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</w:pPr>
      <w:r>
        <w:rPr>
          <w:rFonts w:ascii="GHEA Grapalat" w:hAnsi="GHEA Grapalat"/>
          <w:sz w:val="24"/>
        </w:rPr>
        <w:t>1.3. Հրապարակման ներկայացված զեկույցի ծավալի 1/4-ն ընդգրկող սեղմագրի աշխա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տան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քային լեզուն։</w:t>
      </w: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 xml:space="preserve"> </w:t>
      </w:r>
    </w:p>
    <w:p>
      <w:pPr>
        <w:pStyle w:val="23"/>
        <w:shd w:val="clear" w:color="auto" w:fill="auto"/>
        <w:spacing w:line="360" w:lineRule="auto"/>
        <w:rPr>
          <w:rFonts w:ascii="GHEA Grapalat" w:hAnsi="GHEA Grapalat"/>
          <w:sz w:val="24"/>
        </w:rPr>
      </w:pP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>Ռուսերեն, անգլերեն։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1.4. Ակնկալվող արդյունքը։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bCs/>
          <w:color w:val="auto"/>
          <w:sz w:val="24"/>
        </w:rPr>
      </w:pPr>
      <w:r>
        <w:rPr>
          <w:rFonts w:ascii="GHEA Grapalat" w:hAnsi="GHEA Grapalat"/>
          <w:bCs/>
          <w:color w:val="auto"/>
          <w:sz w:val="24"/>
        </w:rPr>
        <w:t>Հայաստանի Հանրապետությունում պետական մասնակցությամբ բժշկական կազմակերպու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թյուն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ների կառավարման կատարելագործման համատեքստում, կազմակերպչաիրավական՝ ներառյալ պետական բաժնեմասի և/կամ սեփականության ձև փոփոխության արդյունքում, կառավարման նոր՝ իրատեսական և կիրառելի մոդելների մշակում։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1.5. Հետազոտության արդյունքների շահառուները։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bCs/>
          <w:color w:val="auto"/>
          <w:sz w:val="24"/>
        </w:rPr>
      </w:pPr>
      <w:r>
        <w:rPr>
          <w:rFonts w:ascii="GHEA Grapalat" w:hAnsi="GHEA Grapalat"/>
          <w:bCs/>
          <w:color w:val="auto"/>
          <w:sz w:val="24"/>
        </w:rPr>
        <w:t>ՀՀ առողջապահության նախարարություն, ՀՀ տարածքային կառավարման և  ենթակառուց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վածքների նախարարություն, ՀՀ մարզպետարաններ, հասարակական  և ոլորտի զարգաց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 xml:space="preserve">ման հիմնախնդիրներով շահագռգիռ այլ կազմակերպություններ ու միություններ։ </w:t>
      </w:r>
    </w:p>
    <w:p>
      <w:pPr>
        <w:pStyle w:val="15"/>
        <w:shd w:val="clear" w:color="auto" w:fill="auto"/>
        <w:spacing w:line="360" w:lineRule="auto"/>
        <w:jc w:val="both"/>
        <w:rPr>
          <w:rFonts w:ascii="GHEA Grapalat" w:hAnsi="GHEA Grapalat"/>
          <w:i/>
          <w:color w:val="auto"/>
          <w:sz w:val="24"/>
          <w:szCs w:val="24"/>
        </w:rPr>
      </w:pPr>
      <w:r>
        <w:rPr>
          <w:rStyle w:val="27"/>
          <w:rFonts w:ascii="GHEA Grapalat" w:hAnsi="GHEA Grapalat"/>
          <w:b/>
          <w:bCs/>
          <w:i/>
          <w:color w:val="auto"/>
        </w:rPr>
        <w:t>1.6. Հետազոտական թեմայի իրականացման պայմանները և ակնկալվող</w:t>
      </w:r>
      <w:r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>
        <w:rPr>
          <w:rStyle w:val="27"/>
          <w:rFonts w:ascii="GHEA Grapalat" w:hAnsi="GHEA Grapalat"/>
          <w:b/>
          <w:bCs/>
          <w:i/>
          <w:color w:val="auto"/>
        </w:rPr>
        <w:t>արդյունքները:</w:t>
      </w:r>
    </w:p>
    <w:p>
      <w:p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Style w:val="26"/>
          <w:rFonts w:ascii="GHEA Grapalat" w:hAnsi="GHEA Grapalat"/>
          <w:sz w:val="24"/>
          <w:szCs w:val="24"/>
        </w:rPr>
        <w:t xml:space="preserve">Պայմանները։ </w:t>
      </w:r>
      <w:r>
        <w:rPr>
          <w:rFonts w:ascii="GHEA Grapalat" w:hAnsi="GHEA Grapalat"/>
        </w:rPr>
        <w:t xml:space="preserve">Հետազոտության համար սահմանվող ժամկետը </w:t>
      </w:r>
      <w:r>
        <w:rPr>
          <w:rFonts w:ascii="GHEA Grapalat" w:hAnsi="GHEA Grapalat"/>
          <w:b/>
        </w:rPr>
        <w:t>6 ամիս է։</w:t>
      </w:r>
      <w:r>
        <w:rPr>
          <w:rFonts w:ascii="GHEA Grapalat" w:hAnsi="GHEA Grapalat"/>
        </w:rPr>
        <w:t xml:space="preserve"> Հետազոտական խումբը ձևավորվում է </w:t>
      </w:r>
      <w:r>
        <w:rPr>
          <w:rFonts w:ascii="GHEA Grapalat" w:hAnsi="GHEA Grapalat" w:cs="Sylfaen"/>
          <w:color w:val="000000" w:themeColor="text1"/>
        </w:rPr>
        <w:t>Համալսարանի</w:t>
      </w:r>
      <w:r>
        <w:rPr>
          <w:rFonts w:ascii="GHEA Grapalat" w:hAnsi="GHEA Grapalat"/>
          <w:color w:val="000000" w:themeColor="text1"/>
        </w:rPr>
        <w:t xml:space="preserve"> ասպի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ներից, մագիստրանտներից ու ուսանողներից կազմված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ներից: «Ասպիրանտ» հասկա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թյունը ներառում է նաև Հա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մալսարանում գրանցված հայցորդ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(այսուհետ՝ ասպիրանտ), իսկ «ուսա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նող» հասկացությունը ներառում է մագիստրա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յում և բակալավ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րիատի 4-րդ կուրսում սովորող ուսանողներին (այսուհետ՝ ուսանող): Խումբը ղեկավարում է </w:t>
      </w:r>
      <w:r>
        <w:rPr>
          <w:rFonts w:ascii="GHEA Grapalat" w:hAnsi="GHEA Grapalat"/>
        </w:rPr>
        <w:t xml:space="preserve">Կենտրոնի </w:t>
      </w:r>
      <w:r>
        <w:rPr>
          <w:rFonts w:ascii="GHEA Grapalat" w:hAnsi="GHEA Grapalat"/>
          <w:color w:val="000000" w:themeColor="text1"/>
        </w:rPr>
        <w:t>աշխատա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կից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ը՝ հասարակական հիմունքներով: 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Թեմայի բյուջեն չպետք է գերազանցի </w:t>
      </w:r>
      <w:r>
        <w:rPr>
          <w:rFonts w:ascii="GHEA Grapalat" w:hAnsi="GHEA Grapalat"/>
          <w:b/>
          <w:sz w:val="24"/>
          <w:szCs w:val="24"/>
        </w:rPr>
        <w:t>2,5 մլն (երկու միլիոն հինգ հարյուր հազար) դրամը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(գործուղման և այլ ծախսերը, հարկերը և այլ պար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տադիր վճարները ներառյալ)</w:t>
      </w:r>
      <w:r>
        <w:rPr>
          <w:rFonts w:ascii="GHEA Grapalat" w:hAnsi="GHEA Grapalat"/>
          <w:sz w:val="24"/>
          <w:szCs w:val="24"/>
        </w:rPr>
        <w:t>։ Վճարումը կատարվելու է փուլերով, նախա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տեսված աշ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տանք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կատարման վերաբերյալ Կենտրոնի տնօրենի դրական եզրակացության առկայությամբ։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Style w:val="26"/>
          <w:rFonts w:ascii="GHEA Grapalat" w:hAnsi="GHEA Grapalat"/>
          <w:sz w:val="24"/>
          <w:szCs w:val="24"/>
        </w:rPr>
        <w:t xml:space="preserve">Ակնկալվող արդյունքները։ </w:t>
      </w:r>
      <w:r>
        <w:rPr>
          <w:rStyle w:val="28"/>
          <w:rFonts w:ascii="GHEA Grapalat" w:hAnsi="GHEA Grapalat"/>
          <w:sz w:val="24"/>
          <w:szCs w:val="24"/>
        </w:rPr>
        <w:t xml:space="preserve">Հետազոտության </w:t>
      </w:r>
      <w:r>
        <w:rPr>
          <w:rFonts w:ascii="GHEA Grapalat" w:hAnsi="GHEA Grapalat"/>
          <w:sz w:val="24"/>
          <w:szCs w:val="24"/>
        </w:rPr>
        <w:t>արդյունքների միջանկյալ և ամփոփիչ առնվազն երեք քննարկում (2 ներբուհական, 1 հանրային), հետազոտության թեմայի շրջանակ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ներում 3 վերլուծական ակնարկի (հոդվածի) հրապարակում </w:t>
      </w:r>
      <w:r>
        <w:rPr>
          <w:rFonts w:ascii="GHEA Grapalat" w:hAnsi="GHEA Grapalat"/>
          <w:b/>
          <w:sz w:val="24"/>
          <w:szCs w:val="24"/>
        </w:rPr>
        <w:t>(այդ թվում՝ ազդեցության գործա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կից ունեցող միջազգային գրա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խոս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վող պարբերականներում),</w:t>
      </w:r>
      <w:r>
        <w:rPr>
          <w:rFonts w:ascii="GHEA Grapalat" w:hAnsi="GHEA Grapalat"/>
          <w:sz w:val="24"/>
          <w:szCs w:val="24"/>
        </w:rPr>
        <w:t xml:space="preserve"> կոլեկտիվ մենագրու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թյան կամ գիտական զեկույցի հրապարակում, հրապարակված մենագրության կամ զե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կույցի ծավալի շուրջ 1/4-ը կազմող ռուսերեն և անգլերեն լեզուներով սեղմագրի հրապա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րակում, առաջադրված խնդիր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լուծման ամփոփ առաջարկությունների և երաշխա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րու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թյունների ներկայացում։</w:t>
      </w:r>
    </w:p>
    <w:p>
      <w:pPr>
        <w:pStyle w:val="30"/>
        <w:shd w:val="clear" w:color="auto" w:fill="auto"/>
        <w:spacing w:before="0" w:line="360" w:lineRule="auto"/>
        <w:ind w:firstLine="0"/>
        <w:rPr>
          <w:rFonts w:ascii="GHEA Grapalat" w:hAnsi="GHEA Grapalat"/>
          <w:i/>
          <w:sz w:val="24"/>
          <w:szCs w:val="24"/>
        </w:rPr>
      </w:pPr>
      <w:r>
        <w:rPr>
          <w:rStyle w:val="31"/>
          <w:rFonts w:ascii="GHEA Grapalat" w:hAnsi="GHEA Grapalat"/>
          <w:b/>
          <w:bCs/>
          <w:i/>
          <w:sz w:val="24"/>
          <w:szCs w:val="24"/>
        </w:rPr>
        <w:t>1.7. Հետազոտության հաշվետվությանը ներկայացվող պարտադիր պահանջները: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Style w:val="28"/>
          <w:rFonts w:ascii="GHEA Grapalat" w:hAnsi="GHEA Grapalat"/>
          <w:sz w:val="24"/>
          <w:szCs w:val="24"/>
        </w:rPr>
        <w:t xml:space="preserve">Հետազոտության </w:t>
      </w:r>
      <w:r>
        <w:rPr>
          <w:rFonts w:ascii="GHEA Grapalat" w:hAnsi="GHEA Grapalat"/>
          <w:sz w:val="24"/>
          <w:szCs w:val="24"/>
        </w:rPr>
        <w:t>հաշվետվությունը չի կարող գերազանցել 100 մեքենագիր էջը (ներառյալ հետազոտության օբյեկտին առնչվող վիճակագրական հավելվածները)։ Հաշվետվությունը պար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դիր պետք է ներառի հետևյալ բաժինները.</w:t>
      </w:r>
    </w:p>
    <w:p>
      <w:pPr>
        <w:pStyle w:val="18"/>
        <w:shd w:val="clear" w:color="auto" w:fill="auto"/>
        <w:spacing w:before="0" w:after="0" w:line="360" w:lineRule="auto"/>
        <w:ind w:left="80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>
        <w:rPr>
          <w:rStyle w:val="32"/>
          <w:rFonts w:ascii="GHEA Grapalat" w:hAnsi="GHEA Grapalat"/>
          <w:sz w:val="24"/>
          <w:szCs w:val="24"/>
        </w:rPr>
        <w:t xml:space="preserve">Հետազոտության մեթոդաբանությունը և նկարագիրը։ </w:t>
      </w:r>
      <w:r>
        <w:rPr>
          <w:rFonts w:ascii="GHEA Grapalat" w:hAnsi="GHEA Grapalat"/>
          <w:sz w:val="24"/>
          <w:szCs w:val="24"/>
        </w:rPr>
        <w:t>Սույն բաժնում մինչև 10 տպագիր էջի սահմաններում ենթադրվում է ներկայացնել՝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համառոտ նկարագրությունը (հետազոտության ժամկետները, հետազոտության օբյեկտը և ընտրված բնագավառները),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մեթոդաբանության և կիրառված գործիքների նկարագիրը,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</w:t>
      </w:r>
      <w:r>
        <w:rPr>
          <w:rFonts w:ascii="GHEA Grapalat" w:hAnsi="GHEA Grapalat"/>
          <w:sz w:val="24"/>
          <w:szCs w:val="24"/>
        </w:rPr>
        <w:t>ետազոտության ընտրանքի նկարագիրը</w:t>
      </w:r>
      <w:r>
        <w:rPr>
          <w:rFonts w:ascii="GHEA Grapalat" w:hAnsi="GHEA Grapalat"/>
          <w:sz w:val="24"/>
          <w:szCs w:val="24"/>
          <w:lang w:val="ru-RU"/>
        </w:rPr>
        <w:t>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տեղեկատվական ապահովման աղբյուրների նկարագիրը,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ելակետային դրույթների (ներառյալ գնահատման ու հաշվարկման կիրառված մեթոդների) նկարագիրը։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օբյեկտին առնչվող ներկայիս իրավիճակի, զարգացման ընթացքի, հետագա զարգացման հնարավորությունների, մարտահրավեր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ների, խոչընդոտների, միջազգային փորձի, այն ՀՀ-ում կիրառելու հնարա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վորությունների վերլուծությամբ 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հովված հիմնական արդյունքների նկարագիրը։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բաժնում 60-70 տպագիր էջի սահմաններում նախատեսվում է ներկայացնել հետա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զոտության օբյեկտի դրվածքը Հայաստանի Հանրապետությունում և այլ երկրներում (եթե դա անհրաժեշտ է)։ Օբյեկտի դրվածքը պետք է ներառի վերջինիս տնտեսական, տեխ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նի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կական, տեխնոլոգիական (եթե դա անհրաժեշտ է), սոցիալ-մշակութային, ժողովրդագ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րական, ռեսուրսային ապահովվածությանը, զարգաց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ընթացքին, հեռանկարին, զար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գաց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խոչընդոտներին առնչվող ասպեկտ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ների, ինչպես նաև միջազգային առաջավոր փորձի վերլուծության արդյունքները և հետազոտական խմբի տեսակետներն ու մոտե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ցումները հետազոտության օբյեկտի ռազմավարական զարգացման առնչությամբ։</w:t>
      </w:r>
    </w:p>
    <w:p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 w:hanging="360"/>
        <w:jc w:val="both"/>
        <w:rPr>
          <w:rFonts w:ascii="GHEA Grapalat" w:hAnsi="GHEA Grapalat"/>
          <w:sz w:val="24"/>
          <w:szCs w:val="24"/>
        </w:rPr>
      </w:pPr>
      <w:bookmarkStart w:id="0" w:name="bookmark5"/>
      <w:r>
        <w:rPr>
          <w:rFonts w:ascii="GHEA Grapalat" w:hAnsi="GHEA Grapalat"/>
          <w:sz w:val="24"/>
          <w:szCs w:val="24"/>
        </w:rPr>
        <w:t>Հետազոտական խմբի առաջարկությունների և երաշխավորությունների փաթեթը և հիմնավորումները</w:t>
      </w:r>
      <w:bookmarkEnd w:id="0"/>
      <w:r>
        <w:rPr>
          <w:rFonts w:ascii="GHEA Grapalat" w:hAnsi="GHEA Grapalat"/>
          <w:sz w:val="24"/>
          <w:szCs w:val="24"/>
        </w:rPr>
        <w:t>: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բաժնում 20-30 տպագիր էջի սահմաններում անհրաժեշտ է ներկայացնել հետազո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տության օբյեկտի ներկա դրվածքի լավարկմանը և ռազմավարական զարգացմանը միտ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ված հիմնական առաջարկությունները, երաշխավորություն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ները, դրանց իրականաց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տեխնիկա-տնտեսական հիմնավորումները, իրա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նացման գործողությունների ծրա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գիրը և վերջինների իրականացման հնարա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վոր ազդեցությանն առնչվող կանխատեսումները։</w:t>
      </w:r>
    </w:p>
    <w:p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 w:hanging="360"/>
        <w:jc w:val="both"/>
        <w:rPr>
          <w:rFonts w:ascii="GHEA Grapalat" w:hAnsi="GHEA Grapalat"/>
          <w:sz w:val="24"/>
          <w:szCs w:val="24"/>
        </w:rPr>
      </w:pPr>
      <w:bookmarkStart w:id="1" w:name="bookmark6"/>
      <w:r>
        <w:rPr>
          <w:rFonts w:ascii="GHEA Grapalat" w:hAnsi="GHEA Grapalat"/>
          <w:sz w:val="24"/>
          <w:szCs w:val="24"/>
        </w:rPr>
        <w:t>Հետազոտության օտարալեզու սեղմագրերը</w:t>
      </w:r>
      <w:bookmarkEnd w:id="1"/>
      <w:r>
        <w:rPr>
          <w:rFonts w:ascii="GHEA Grapalat" w:hAnsi="GHEA Grapalat"/>
          <w:sz w:val="24"/>
          <w:szCs w:val="24"/>
          <w:lang w:val="en-US"/>
        </w:rPr>
        <w:t>: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անգլերեն և ռուսերեն սեղմագրերը ենթադրում են հրապա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րակման ներ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յացված մենագրության ծավալի 1/4-ի չափով խտացված ներկա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յացնել հետազոտության երեք բաժիններում ապահովված հիմնական արդյունքները։</w:t>
      </w:r>
    </w:p>
    <w:p>
      <w:pPr>
        <w:pStyle w:val="15"/>
        <w:shd w:val="clear" w:color="auto" w:fill="auto"/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>
        <w:rPr>
          <w:rStyle w:val="25"/>
          <w:rFonts w:ascii="GHEA Grapalat" w:hAnsi="GHEA Grapalat"/>
          <w:b/>
          <w:bCs/>
          <w:i/>
          <w:sz w:val="24"/>
          <w:szCs w:val="24"/>
        </w:rPr>
        <w:t xml:space="preserve">1.8. Հետազոտության միջանկյալ և ամփոփ արդյունքների ներբուհական և </w:t>
      </w:r>
      <w:r>
        <w:rPr>
          <w:rFonts w:ascii="GHEA Grapalat" w:hAnsi="GHEA Grapalat"/>
          <w:i/>
          <w:sz w:val="24"/>
          <w:szCs w:val="24"/>
        </w:rPr>
        <w:t>հանրային քննարկ</w:t>
      </w:r>
      <w:r>
        <w:rPr>
          <w:rFonts w:ascii="GHEA Grapalat" w:hAnsi="GHEA Grapalat"/>
          <w:i/>
          <w:sz w:val="24"/>
          <w:szCs w:val="24"/>
        </w:rPr>
        <w:softHyphen/>
      </w:r>
      <w:r>
        <w:rPr>
          <w:rFonts w:ascii="GHEA Grapalat" w:hAnsi="GHEA Grapalat"/>
          <w:i/>
          <w:sz w:val="24"/>
          <w:szCs w:val="24"/>
        </w:rPr>
        <w:t>մանը ներկայացվող պարտադիր պահանջները: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միջանկյալ և ամփոփ արդյունքների քննարկումն իրականացվում է հաս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ված ժամանակացույցի ու հաշվետվության ձևի համաձայն։ Միջանկյալ հաշվետվություն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ները կազմակերպվում են ներբուհական քննարկման ձևաչափով, որի ընթացքում խմբի կողմից ներ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կայացվում են հետազոտությամբ արձանագրված միջանկ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յալ արդյունքները։ </w:t>
      </w:r>
      <w:r>
        <w:rPr>
          <w:rFonts w:ascii="GHEA Grapalat" w:hAnsi="GHEA Grapalat"/>
          <w:b/>
          <w:sz w:val="24"/>
          <w:szCs w:val="24"/>
        </w:rPr>
        <w:t>Միջանկյալ արդ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յունք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ների վերաբերյալ հետազոտական խումբը հրա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պարակման է պատրաստում 5-10 տպա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գիր էջի սահմաններում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1 վերլուծական ակ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 xml:space="preserve">նարկ (հոդված)։ </w:t>
      </w:r>
      <w:r>
        <w:rPr>
          <w:rFonts w:ascii="GHEA Grapalat" w:hAnsi="GHEA Grapalat"/>
          <w:sz w:val="24"/>
          <w:szCs w:val="24"/>
        </w:rPr>
        <w:t>Ամփոփ հաշվետվությունը կազմա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կերպվում է հանրային քննարկման ձևաչա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փով, որի ընթացքում խումբը ներկայացնում է ամբող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ջական հետազոտությունն ու դրա արդ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յունքում ձևավորված երաշխավորությունները։ </w:t>
      </w:r>
      <w:r>
        <w:rPr>
          <w:rFonts w:ascii="GHEA Grapalat" w:hAnsi="GHEA Grapalat"/>
          <w:b/>
          <w:sz w:val="24"/>
          <w:szCs w:val="24"/>
        </w:rPr>
        <w:t>Ամփոփ արդյունքների վերաբերյալ հե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տա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զոտական խումբը հրապարակման է պատրաստում մինչև 5-10 տպագիր էջի սահ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մաններում 2 վերլուծական ակնարկ (հոդված)։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Հրապարակման ենթա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կա վերլուծական ակնարկներից (հոդվածներից) առնվազն մեկը պետք է հրապարակվի ազդե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ցության գործակից ունեցող միջազգային գրա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խոս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 xml:space="preserve">վող պարբերականում: 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1.9. Ակադեմիական բարեվարքությունը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Հետազոտական խմբի անդամները պարտավոր են պահպանել ՀՀ օրենսդրությամբ և մի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ջազգային իրավական ակտերով սահմանված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ակադեմիական բարեվարքության կանոնները:</w:t>
      </w:r>
    </w:p>
    <w:p>
      <w:pPr>
        <w:pStyle w:val="30"/>
        <w:shd w:val="clear" w:color="auto" w:fill="auto"/>
        <w:spacing w:before="0" w:line="360" w:lineRule="auto"/>
        <w:ind w:left="20" w:firstLine="0"/>
        <w:jc w:val="center"/>
        <w:rPr>
          <w:rFonts w:ascii="GHEA Grapalat" w:hAnsi="GHEA Grapalat"/>
          <w:b w:val="0"/>
        </w:rPr>
      </w:pPr>
    </w:p>
    <w:p>
      <w:pPr>
        <w:pStyle w:val="30"/>
        <w:shd w:val="clear" w:color="auto" w:fill="auto"/>
        <w:spacing w:before="0" w:line="360" w:lineRule="auto"/>
        <w:ind w:left="20" w:firstLine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 ՄՐՑՈՒՅԹԻ ՊԱՅՄԱՆՆԵՐԸ</w:t>
      </w:r>
    </w:p>
    <w:p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br w:type="textWrapping"/>
      </w:r>
      <w:r>
        <w:rPr>
          <w:rFonts w:ascii="GHEA Grapalat" w:hAnsi="GHEA Grapalat"/>
        </w:rPr>
        <w:t>Սույն պայմանները մշակվել են Հայաստանի պետական տնտեսագիտական համալսա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րանի գի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տական խորհրդի 2019 թվականի դեկտեմբերի 18-ի N1 որոշմամբ հաստատված՝ ««Հայաստանի պետական տնտեսագիտական համալսարանի «Ամբերդ» հետա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զոտա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կենտրոնի հետազո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թեմաների և խմբերի ձևավորման, դրանցում ասպի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րանտ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ների և ուսանողների ներգրավ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ման կարգ»-ը հաստատելու և «Հայաստանի պետա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տնտեսագիտական համալսարան» պե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ոչ առևտրային կազմակերպության գիտական խորհրդի 2014 թվականի մարտի 26-ի նիստի N 5 արձանագրությամբ հաս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տատված «</w:t>
      </w:r>
      <w:r>
        <w:fldChar w:fldCharType="begin"/>
      </w:r>
      <w:r>
        <w:instrText xml:space="preserve"> HYPERLINK "https://asue.am/upload/files/gitausumnakan_kanonakarg.pdf" </w:instrText>
      </w:r>
      <w:r>
        <w:fldChar w:fldCharType="separate"/>
      </w:r>
      <w:r>
        <w:rPr>
          <w:rFonts w:ascii="GHEA Grapalat" w:hAnsi="GHEA Grapalat"/>
        </w:rPr>
        <w:t>Գիտաուսումնական խմբերի հետազոտական նախագծերի մրցույթի կանո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կարգ</w:t>
      </w:r>
      <w:r>
        <w:rPr>
          <w:rFonts w:ascii="GHEA Grapalat" w:hAnsi="GHEA Grapalat"/>
        </w:rPr>
        <w:fldChar w:fldCharType="end"/>
      </w:r>
      <w:r>
        <w:rPr>
          <w:rFonts w:ascii="GHEA Grapalat" w:hAnsi="GHEA Grapalat"/>
        </w:rPr>
        <w:t xml:space="preserve">»-ը ուժը կորցրած ճանաչելու մասին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</w:rPr>
        <w:t xml:space="preserve">»»-ի (այսուհետ՝ </w:t>
      </w:r>
      <w:r>
        <w:rPr>
          <w:rFonts w:ascii="GHEA Grapalat" w:hAnsi="GHEA Grapalat"/>
          <w:b/>
        </w:rPr>
        <w:t>Կարգ</w:t>
      </w:r>
      <w:r>
        <w:rPr>
          <w:rFonts w:ascii="GHEA Grapalat" w:hAnsi="GHEA Grapalat"/>
        </w:rPr>
        <w:t xml:space="preserve">) հիման վրա՝ հաշվի առնելով հետազոտական թեմայում բացառապես ուսանողներ և ասպիրանտներ ներգրավելու առանձնահատկությունները: </w:t>
      </w: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cs="GHEAGrapalat" w:asciiTheme="minorHAnsi" w:hAnsiTheme="minorHAnsi"/>
          <w:color w:val="auto"/>
          <w:lang w:bidi="ar-SA"/>
        </w:rPr>
      </w:pPr>
    </w:p>
    <w:p>
      <w:pPr>
        <w:pStyle w:val="30"/>
        <w:shd w:val="clear" w:color="auto" w:fill="auto"/>
        <w:spacing w:before="0" w:line="360" w:lineRule="auto"/>
        <w:ind w:firstLine="0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>2.1.</w:t>
      </w:r>
      <w:r>
        <w:rPr>
          <w:rFonts w:ascii="GHEA Grapalat" w:hAnsi="GHEA Grapalat"/>
          <w:i/>
          <w:sz w:val="24"/>
          <w:szCs w:val="24"/>
        </w:rPr>
        <w:t>Մրցույթի նպատակ</w:t>
      </w:r>
      <w:r>
        <w:rPr>
          <w:rFonts w:ascii="GHEA Grapalat" w:hAnsi="GHEA Grapalat"/>
          <w:i/>
          <w:sz w:val="24"/>
          <w:szCs w:val="24"/>
          <w:lang w:val="en-US"/>
        </w:rPr>
        <w:t>ներն ու</w:t>
      </w:r>
      <w:r>
        <w:rPr>
          <w:rFonts w:ascii="GHEA Grapalat" w:hAnsi="GHEA Grapalat"/>
          <w:i/>
          <w:sz w:val="24"/>
          <w:szCs w:val="24"/>
        </w:rPr>
        <w:t xml:space="preserve"> խնդիրները</w:t>
      </w:r>
      <w:r>
        <w:rPr>
          <w:rFonts w:ascii="GHEA Grapalat" w:hAnsi="GHEA Grapalat"/>
          <w:i/>
          <w:sz w:val="24"/>
          <w:szCs w:val="24"/>
          <w:lang w:val="en-US"/>
        </w:rPr>
        <w:t>:</w:t>
      </w:r>
    </w:p>
    <w:p>
      <w:pPr>
        <w:pStyle w:val="30"/>
        <w:shd w:val="clear" w:color="auto" w:fill="auto"/>
        <w:spacing w:before="0" w:line="360" w:lineRule="auto"/>
        <w:ind w:left="380" w:firstLine="0"/>
        <w:rPr>
          <w:rFonts w:ascii="GHEA Grapalat" w:hAnsi="GHEA Grapalat"/>
          <w:sz w:val="24"/>
          <w:szCs w:val="24"/>
        </w:rPr>
      </w:pPr>
    </w:p>
    <w:p>
      <w:pPr>
        <w:pStyle w:val="18"/>
        <w:numPr>
          <w:ilvl w:val="2"/>
          <w:numId w:val="3"/>
        </w:numPr>
        <w:shd w:val="clear" w:color="auto" w:fill="auto"/>
        <w:tabs>
          <w:tab w:val="left" w:pos="476"/>
        </w:tabs>
        <w:spacing w:before="0" w:after="0"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Մրցույթի նպատակն</w:t>
      </w:r>
      <w:r>
        <w:rPr>
          <w:rFonts w:ascii="GHEA Grapalat" w:hAnsi="GHEA Grapalat"/>
          <w:b/>
          <w:sz w:val="24"/>
          <w:szCs w:val="24"/>
          <w:lang w:val="en-US"/>
        </w:rPr>
        <w:t>երն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են.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Կենտրոնի մասնագիտացման բնագավառում հետազոտական հավելյալ ակ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վության և հրապարակումների պարբերականության ապահովումը,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աշխատանքներում Համալսարանի ասպիրանտների և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նողների հե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տազոտական հմտությունների զարգացումը՝ նրանց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աշխատանք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ներգրավ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միջոցով,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հետազոտությունների արդյունքների ինտեգրումը ուսումնական գործըն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ցում,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կիրառական հետազոտությունների իրականացմամբ ՀՀ տնտեսության որևէ խնդրի (խնդիրների) լուծմանն ուղղված առաջարկությունների ներկայացումը համապատաս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խան շահառուին (շահառուներին),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կիրառական հետազոտությունների արդյունքների հրապարակմամբ Համալ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րանի՝ իբրև հետազոտական հաստատության, հեղինակության բարձրա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ցումը: </w:t>
      </w:r>
    </w:p>
    <w:p>
      <w:pPr>
        <w:pStyle w:val="18"/>
        <w:numPr>
          <w:ilvl w:val="2"/>
          <w:numId w:val="3"/>
        </w:numPr>
        <w:shd w:val="clear" w:color="auto" w:fill="auto"/>
        <w:tabs>
          <w:tab w:val="left" w:pos="476"/>
        </w:tabs>
        <w:spacing w:before="0"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Մրցութային կարգով իրականացվող հետազոտական ծրագրերին առաջադրվում են </w:t>
      </w:r>
      <w:r>
        <w:rPr>
          <w:rFonts w:ascii="GHEA Grapalat" w:hAnsi="GHEA Grapalat"/>
          <w:b/>
          <w:sz w:val="24"/>
          <w:szCs w:val="24"/>
        </w:rPr>
        <w:t>հետևյալ խնդիրները.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նպաստել ՀՀ սոցիալ-տնտեսական զարգացման առավել կարևոր հիմնահարցերի գիտա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կանորեն հիմնավորված լուծմանը,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ստեղծել նախադրյալներ հետազոտության արդյունքների առևտրայնացման և արտա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քին պատվերների ինստիտուտի զարգացման համար,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փոխկապակցել ՀՊՏՀ ուսումնական և հետազոտական գործունեությունը, ընդլայնել երիտասարդ հետազոտողների ներգրավվածությունը։</w:t>
      </w:r>
    </w:p>
    <w:p>
      <w:pPr>
        <w:pStyle w:val="18"/>
        <w:shd w:val="clear" w:color="auto" w:fill="auto"/>
        <w:tabs>
          <w:tab w:val="left" w:pos="354"/>
        </w:tabs>
        <w:spacing w:before="0" w:after="0" w:line="360" w:lineRule="auto"/>
        <w:ind w:firstLine="0"/>
        <w:rPr>
          <w:rFonts w:ascii="GHEA Grapalat" w:hAnsi="GHEA Grapalat"/>
          <w:sz w:val="24"/>
          <w:szCs w:val="24"/>
        </w:rPr>
      </w:pPr>
    </w:p>
    <w:p>
      <w:pPr>
        <w:spacing w:line="360" w:lineRule="auto"/>
        <w:rPr>
          <w:rFonts w:ascii="GHEA Grapalat" w:hAnsi="GHEA Grapalat"/>
          <w:i/>
          <w:color w:val="000000" w:themeColor="text1"/>
        </w:rPr>
      </w:pPr>
      <w:r>
        <w:rPr>
          <w:rFonts w:ascii="GHEA Grapalat" w:hAnsi="GHEA Grapalat" w:cs="Arial Armenian"/>
          <w:b/>
          <w:bCs/>
          <w:i/>
          <w:caps/>
        </w:rPr>
        <w:t>2.2. Հ</w:t>
      </w:r>
      <w:r>
        <w:rPr>
          <w:rFonts w:ascii="GHEA Grapalat" w:hAnsi="GHEA Grapalat" w:cs="Arial Armenian"/>
          <w:b/>
          <w:bCs/>
          <w:i/>
        </w:rPr>
        <w:t>ետազոտական խմբի ձևավորումը և մասնակիցներին ներկայացվող պահանջները: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  <w:sz w:val="14"/>
        </w:rPr>
      </w:pP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խումբը Կենտրոնի կողմից մրցութային հիմունքներով ներգրաված՝ ասպի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 ու ուսանողներից բաղկացած խումբն է: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խմբում կարող են ներառվել նաև Համալսարանի բակա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լավ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րիատի ավար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տական կուրսում և/կամ մագիստրատուրայում փորձա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ռություն անցկաց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 ուսանող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ները՝ նրանց փորձառության ժամկետներում և առանց վարձատրության: 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խումբը ձևավորվում է տվյալ հետազոտական թեմայի 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տարման համար և գործում է մինչև թեմայի սահմանված ժամկետի ավարտը, որից հետո,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Կարգի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ձայն` նրանց աշխատանքի հանձնման-ընդունման ավարտական ակտի հաս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վելու պահից, կատարողների և պատվիրատուի պայմանագրային պարտավո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րությունները դադարում են: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խմբում ուսանողների ներգրավումը կատարվում է հետևյալ չափանիշներ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համապատասխան.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բակալավրիատի 4-րդ կուրսի ուսանող կատարողի կուտա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կային միջին որակավորման գնահատականը պետք է բարձր լինի 15.1 միավորից, իսկ մագիստրանտ կատարողներինը՝ 76 միավորից:</w:t>
      </w:r>
      <w:r>
        <w:rPr>
          <w:rFonts w:ascii="GHEA Grapalat" w:hAnsi="GHEA Grapalat" w:cs="Sylfaen"/>
          <w:color w:val="000000" w:themeColor="text1"/>
        </w:rPr>
        <w:t xml:space="preserve"> 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Ուսանողի</w:t>
      </w:r>
      <w:r>
        <w:rPr>
          <w:rFonts w:ascii="GHEA Grapalat" w:hAnsi="GHEA Grapalat"/>
          <w:color w:val="000000" w:themeColor="text1"/>
        </w:rPr>
        <w:t xml:space="preserve"> ներգրավման պայման են սույն մրցութային հրավերի 2.2.4. ենթակետում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առա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ջադիմության նվազագույն շե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մը, առկա հմտու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թյունները, մասնագիտա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հետա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քրքրու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թյունների շրջանակը և հրապա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(եթե առկա են): Ասպիրանտ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րողների համար ներգրավման պայման են առկա հմտու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թյունները, ատենախոսու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 թեման, մասնագիտա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հետաքրքրու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շրջանակը և հրապա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(եթե առկա են):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թեմաներում ներգրավված Համալսարանի ասպիրանտներն ու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չեն կարող հետազոտական թեմայի իրակա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նացման ժամանակահատվածում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գրավ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լինել Համալսարանի շրջա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նակ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իրականացվող այլ հետազոտական թեմա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և խմբերում: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կատարողների գործառույթները,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քային պարտականութ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և իրավասությունները սահմանվում են 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ռայությունների 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պայմա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նագրերով՝ սույն մրցույթի հրավե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րում նշված տեխնիկական առաջադ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րանքին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տասխան: 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Ծառայությունների</w:t>
      </w:r>
      <w:r>
        <w:rPr>
          <w:rFonts w:ascii="GHEA Grapalat" w:hAnsi="GHEA Grapalat"/>
          <w:color w:val="000000" w:themeColor="text1"/>
        </w:rPr>
        <w:t xml:space="preserve"> մատուցման պայմանագրում պարտադիր կեր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պով նշվում է ակադե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միական բարեվարքության չպահպանման և/կամ պարտա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վորություն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ների չկատարման կամ ոչ պատշաճ կատարման համար՝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Կարգով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նախա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տեսված պատժա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միջոցների մասին:</w:t>
      </w:r>
    </w:p>
    <w:p>
      <w:pPr>
        <w:pStyle w:val="45"/>
        <w:spacing w:line="360" w:lineRule="auto"/>
        <w:ind w:left="990"/>
        <w:jc w:val="center"/>
        <w:rPr>
          <w:rFonts w:ascii="GHEA Grapalat" w:hAnsi="GHEA Grapalat" w:cs="Arial Armenian"/>
          <w:b/>
          <w:bCs/>
          <w:caps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3. ՀԵՏԱԶՈՏԱԿԱՆ ԹԵՄԱՆԵՐԻ ՖԻՆԱՆՍԱՎՈՐՈՒՄԸ ԵՎ ԿԱՏԱՐՈՂՆԵՐԻ ՎԱՐՁԱՏՐՈՒԹՅՈՒՆԸ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widowControl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կատարման համար հատկացված բյուջեն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թե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մայի խմբի ղեկավարի կողմից բաշխվում է հետևյալ սկզբունքով. 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ա) խմբի անդամների աշխատանքի վարձատրություն, 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բ) գործուղումների և նյութերի ձեռք բերման ծախսեր,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գ) դաշտային աշխատանքների իրականացման ծախսեր,</w:t>
      </w:r>
    </w:p>
    <w:p>
      <w:pPr>
        <w:pStyle w:val="45"/>
        <w:widowControl/>
        <w:spacing w:line="360" w:lineRule="auto"/>
        <w:ind w:firstLine="273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</w:rPr>
        <w:t>դ) այլ ծախսեր: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աշխատանքի վարձատրության չափը որոշվում է ըստ հետևյալ չափանիշների.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խմբում իբրև կատարող ներգրավված՝ 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բակալավրիատի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նողների անդամների համար ամսական վարձատրության չափը սահմանվում է  50.000 (հիսուն հազար) ՀՀ դրամ (ներառյալ հարկերը և այլ վճարները),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մագիստրանտների համար սահմանվում է 60.000 (վաթսուն հազար) ՀՀ դրամ (ներառյալ հարկերը և այլ վճարները), 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ասպիրանտների համար՝ ամսեկան 80.000 (ութսուն հազար) ՀՀ դրամ (ներառ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յալ հարկերը և այլ վճարները):   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կատարողների աշխատանքի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րությունը կատարվում է ըստ նրանց հետ կնքված ծառայությունների մատուցման պայմա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նագրում նշված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յան չափի և պարբերականու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թյան՝ հաստատված կատարո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ղա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ակտի հիման վրա: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ղեկավարի զեկուցագրի հիման վրա Կատարողի նկատ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մամբ կարող են կիրառվել ծառայությունների մատուցման պայ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նագրով և օրենսդրությամբ նախա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տեսված պատասխանատվության միջոցները: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Կենտրոնը</w:t>
      </w:r>
      <w:r>
        <w:rPr>
          <w:rFonts w:ascii="GHEA Grapalat" w:hAnsi="GHEA Grapalat"/>
          <w:color w:val="000000" w:themeColor="text1"/>
        </w:rPr>
        <w:t xml:space="preserve"> 15 օրվա ընթացքում դիտարկում է ներկայացված հաշվետվու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ներն ու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պարակման ներկայացրած նյութերը և բացթողումների կամ տեխ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կական առաջադ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րանքով սահմանված պահանջներից շեղումների դեպքում </w:t>
      </w:r>
      <w:r>
        <w:rPr>
          <w:rFonts w:ascii="GHEA Grapalat" w:hAnsi="GHEA Grapalat"/>
        </w:rPr>
        <w:t>խմբին տալիս է բացթողումները և շեղումները շտկելու ժամկետ, որը չի կարող գերազանցել 20 աշխատանքային օրը։ Կատարողական ակտերը ստորագրվում են և պայմանագրով սահմանված վարձատ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րու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թյան ընդհանուր գումարի վերջին 15%-ը վճարվում է բացթողումներն ու շեղումները շտկելուց հետո։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Ավարտական</w:t>
      </w:r>
      <w:r>
        <w:rPr>
          <w:rFonts w:ascii="GHEA Grapalat" w:hAnsi="GHEA Grapalat"/>
          <w:color w:val="000000" w:themeColor="text1"/>
        </w:rPr>
        <w:t xml:space="preserve"> հաշվետվությունը հաստատվում է Կենտրոնի Փորձագիտական խորհրդի կողմից: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Գործուղումների</w:t>
      </w:r>
      <w:r>
        <w:rPr>
          <w:rFonts w:ascii="GHEA Grapalat" w:hAnsi="GHEA Grapalat"/>
          <w:color w:val="000000" w:themeColor="text1"/>
        </w:rPr>
        <w:t xml:space="preserve"> և սահմանված նյութերի ձեռք բերման համար նախատեսված հատկա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ցումները կատարվում են Կենտրոնի տնօրենի զեկուցագրի և ծախսերը հիմնավորող անհրա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ժեշտ հաշվապահական փաստաթղթերի առկայության դեպ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քում՝ հետազոտության համար նախատեսված գումարի շրջանակներում: </w:t>
      </w:r>
    </w:p>
    <w:p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Գործուղման</w:t>
      </w:r>
      <w:r>
        <w:rPr>
          <w:rFonts w:ascii="GHEA Grapalat" w:hAnsi="GHEA Grapalat"/>
          <w:color w:val="000000" w:themeColor="text1"/>
        </w:rPr>
        <w:t xml:space="preserve"> ծախսերի հատուցումն իրականացվում է օրենսդրությանը համապատասխան:</w:t>
      </w:r>
    </w:p>
    <w:p>
      <w:pPr>
        <w:pStyle w:val="23"/>
        <w:shd w:val="clear" w:color="auto" w:fill="auto"/>
        <w:spacing w:line="360" w:lineRule="auto"/>
        <w:ind w:left="20"/>
        <w:jc w:val="center"/>
        <w:rPr>
          <w:rFonts w:ascii="GHEA Grapalat" w:hAnsi="GHEA Grapalat"/>
          <w:i w:val="0"/>
          <w:sz w:val="24"/>
          <w:szCs w:val="24"/>
        </w:rPr>
      </w:pPr>
    </w:p>
    <w:p>
      <w:pPr>
        <w:pStyle w:val="23"/>
        <w:shd w:val="clear" w:color="auto" w:fill="auto"/>
        <w:spacing w:line="360" w:lineRule="auto"/>
        <w:ind w:left="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 w:val="0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i w:val="0"/>
          <w:sz w:val="24"/>
          <w:szCs w:val="24"/>
        </w:rPr>
        <w:t>ՀԱՅՏԵՐԻ ԼՐԱՑՄԱՆ ԿԱՐԳԸ ԵՎ ՆԵՐԿԱՅԱՑՈՒՄԸ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 xml:space="preserve">ետազոտական թեմայի կատարման մրցույթին կարող են հայտ ներկայացնել սույն մրցույթի հրավերով և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Կարգով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սահմանված պահանջներին բավարարող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նողները և ասպիրանտները: 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Մ</w:t>
      </w:r>
      <w:r>
        <w:rPr>
          <w:rFonts w:ascii="GHEA Grapalat" w:hAnsi="GHEA Grapalat"/>
          <w:color w:val="000000" w:themeColor="text1"/>
        </w:rPr>
        <w:t xml:space="preserve">րցույթին մասնակցելու հայտը և անհրաժեշտ փաստաթղթերը ներկայացվում են </w:t>
      </w:r>
      <w:r>
        <w:rPr>
          <w:rFonts w:ascii="GHEA Grapalat" w:hAnsi="GHEA Grapalat"/>
          <w:b/>
          <w:color w:val="000000" w:themeColor="text1"/>
        </w:rPr>
        <w:t>Հավելված 1-ով</w:t>
      </w:r>
      <w:r>
        <w:rPr>
          <w:rFonts w:ascii="GHEA Grapalat" w:hAnsi="GHEA Grapalat"/>
          <w:color w:val="000000" w:themeColor="text1"/>
        </w:rPr>
        <w:t xml:space="preserve"> սահմանված ձևաթղթերին համապատասխան: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Հայտը ներկայացվում է առցանց (օո–line) ռեժիմով՝ այն ուղարկելով Կենտրոնի էլեկտրո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 xml:space="preserve">նային հասցեին՝ </w:t>
      </w:r>
      <w:r>
        <w:fldChar w:fldCharType="begin"/>
      </w:r>
      <w:r>
        <w:instrText xml:space="preserve"> HYPERLINK "mailto:amberd.asue@gmail.com" </w:instrText>
      </w:r>
      <w:r>
        <w:fldChar w:fldCharType="separate"/>
      </w:r>
      <w:r>
        <w:rPr>
          <w:rStyle w:val="8"/>
          <w:rFonts w:ascii="GHEA Grapalat" w:hAnsi="GHEA Grapalat"/>
        </w:rPr>
        <w:t>amberd.asue@gmail.com</w:t>
      </w:r>
      <w:r>
        <w:rPr>
          <w:rStyle w:val="8"/>
          <w:rFonts w:ascii="GHEA Grapalat" w:hAnsi="GHEA Grapalat"/>
        </w:rPr>
        <w:fldChar w:fldCharType="end"/>
      </w:r>
      <w:r>
        <w:rPr>
          <w:rFonts w:ascii="GHEA Grapalat" w:hAnsi="GHEA Grapalat"/>
        </w:rPr>
        <w:t>` մինչև 2020 թվա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 xml:space="preserve">կանի 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մայիսի 11-ը </w:t>
      </w:r>
      <w:r>
        <w:rPr>
          <w:rFonts w:ascii="GHEA Grapalat" w:hAnsi="GHEA Grapalat"/>
          <w:b/>
          <w:bCs/>
        </w:rPr>
        <w:t xml:space="preserve"> ներառյալ</w:t>
      </w:r>
      <w:r>
        <w:rPr>
          <w:rFonts w:ascii="GHEA Grapalat" w:hAnsi="GHEA Grapalat"/>
        </w:rPr>
        <w:t xml:space="preserve"> (մինչև՝ Երևանի ժամանակով ժամը 17:30)։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b/>
        </w:rPr>
        <w:t>Մրցույթի</w:t>
      </w:r>
      <w:r>
        <w:rPr>
          <w:rFonts w:ascii="GHEA Grapalat" w:hAnsi="GHEA Grapalat"/>
          <w:b/>
        </w:rPr>
        <w:t xml:space="preserve"> հետ կապված լրա</w:t>
      </w:r>
      <w:r>
        <w:rPr>
          <w:rFonts w:ascii="GHEA Grapalat" w:hAnsi="GHEA Grapalat"/>
          <w:b/>
        </w:rPr>
        <w:softHyphen/>
      </w:r>
      <w:r>
        <w:rPr>
          <w:rFonts w:ascii="GHEA Grapalat" w:hAnsi="GHEA Grapalat"/>
          <w:b/>
        </w:rPr>
        <w:t>ցուցիչ հարցերի պարզաբանման համար կարելի է զանգահարել 033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77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01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01 հեռախո</w:t>
      </w:r>
      <w:r>
        <w:rPr>
          <w:rFonts w:ascii="GHEA Grapalat" w:hAnsi="GHEA Grapalat"/>
          <w:b/>
        </w:rPr>
        <w:softHyphen/>
      </w:r>
      <w:r>
        <w:rPr>
          <w:rFonts w:ascii="GHEA Grapalat" w:hAnsi="GHEA Grapalat"/>
          <w:b/>
        </w:rPr>
        <w:t>սահամարով: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Մրցութային հայտերի և այլ փաստաթղթերի թղթային տարբերակները ներկա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յացվում են Կենտրոն՝ ՀՀ օրենսդրությամբ սահմանված կարգով Հայաստանի Հան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պետությունում արտա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կարգ դրության և տեղաշարժվելու սահմանափակման ռեժիմները չեղարկելուց հետո՝ 3-օրյա ժամկետում: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Մրցութային հայտերի և այլ փաստաթղթերի թղթային տարբերակներում էլեկտրո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նային եղանակով ուղարկված տարբերակներից տարբերվող փաստաթղթերի ներկայացումն արգելվում է: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Հայտի</w:t>
      </w:r>
      <w:r>
        <w:rPr>
          <w:rFonts w:ascii="GHEA Grapalat" w:hAnsi="GHEA Grapalat"/>
        </w:rPr>
        <w:t xml:space="preserve"> տեքստային մասը ներկայացնել 1,5 տողամեջ հեռավորությամբ, 12 չափի «GHEA Grapalat» տառատեսակով, էջերի բոլոր կողմերից թողնել 2.5 սմ լուսանցք։</w:t>
      </w:r>
    </w:p>
    <w:p>
      <w:pPr>
        <w:pStyle w:val="18"/>
        <w:shd w:val="clear" w:color="auto" w:fill="auto"/>
        <w:tabs>
          <w:tab w:val="left" w:pos="1515"/>
        </w:tabs>
        <w:spacing w:before="0" w:after="0" w:line="360" w:lineRule="auto"/>
        <w:ind w:firstLine="0"/>
        <w:rPr>
          <w:rFonts w:ascii="GHEA Grapalat" w:hAnsi="GHEA Grapalat"/>
          <w:sz w:val="24"/>
          <w:szCs w:val="24"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5. ՄՐՑՈՒՅԹԻ ԿԱԶՄԱԿԵՐՊՈՒՄԸ, Հայտերի փորձաքննությունը ԵՎ ԱՄՓՈՓՈՒՄԸ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  <w:sz w:val="14"/>
        </w:rPr>
      </w:pP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Կատարողների</w:t>
      </w:r>
      <w:r>
        <w:rPr>
          <w:rFonts w:ascii="GHEA Grapalat" w:hAnsi="GHEA Grapalat"/>
          <w:color w:val="000000" w:themeColor="text1"/>
        </w:rPr>
        <w:t xml:space="preserve"> ընտ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րությունը կատարվում է մրցութային հիմունքներով՝ Փորձագիտական խորհրդի կողմից: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Հայտերը</w:t>
      </w:r>
      <w:r>
        <w:rPr>
          <w:rFonts w:ascii="GHEA Grapalat" w:hAnsi="GHEA Grapalat"/>
          <w:color w:val="000000" w:themeColor="text1"/>
        </w:rPr>
        <w:t xml:space="preserve"> դիտարկվում են և մրցույթի արդյունքում հայտը շահած կատարողների տվյալ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պարակվում են հայտերի ընդունման վերջնաժամկետին հաջորդող 15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տանքային օրերի ընթացքում: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Մրցույթի պայմաններին բավարարող Հայտերը տրամադրվում են Փորձագիտական խորհրդի անդամներին՝ սույն մրցույթի հրավերի 5.7. և 5.8. ենթակետերով սահմանված չափա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նիշ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ներին և ձևաչափին համապատասխան գնահատում իրականացնելու հա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մար: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Հայտերը Փորձագիտական խորհրդին ներկա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յաց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վում են ծածկագրի հերթական համարով՝ առանց կատարողի տվյալների: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Հայտերը Փորձագիտական խորհրդի անդամների</w:t>
      </w:r>
      <w:r>
        <w:rPr>
          <w:rFonts w:ascii="GHEA Grapalat" w:hAnsi="GHEA Grapalat" w:eastAsia="Times New Roman" w:cs="Times New Roman"/>
        </w:rPr>
        <w:t xml:space="preserve"> կողմից </w:t>
      </w:r>
      <w:r>
        <w:rPr>
          <w:rFonts w:ascii="GHEA Grapalat" w:hAnsi="GHEA Grapalat" w:eastAsia="Times New Roman" w:cs="Sylfaen"/>
        </w:rPr>
        <w:t>գնա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հատ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վում են՝ ըստ </w:t>
      </w:r>
      <w:r>
        <w:rPr>
          <w:rFonts w:ascii="GHEA Grapalat" w:hAnsi="GHEA Grapalat"/>
          <w:b/>
          <w:color w:val="000000" w:themeColor="text1"/>
        </w:rPr>
        <w:t>Հավելված 2-ով</w:t>
      </w:r>
      <w:r>
        <w:rPr>
          <w:rFonts w:ascii="GHEA Grapalat" w:hAnsi="GHEA Grapalat" w:eastAsia="Times New Roman" w:cs="Sylfaen"/>
        </w:rPr>
        <w:t xml:space="preserve"> սահմանված չափա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նիշ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ների: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Փորձաքննությունը կազմակերպող և իրականացնող անձանց կողմից Հայտերի բովանդա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կության, փորձաքննության ընթացքի և արդյունքների վերաբերյալ տե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ղե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կությունների տրա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մադ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րումը երրորդ կողմին արգելվում է: Նման տեղեկատվություն տրամադրող անձը ենթարկվում է պատասխանատվության ՀՀ օրենսդրությամբ սահմանված կարգով: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Times New Roman"/>
        </w:rPr>
        <w:t>Հայտի գնահատումն իրա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 xml:space="preserve">նացնում է ըստ </w:t>
      </w:r>
      <w:r>
        <w:rPr>
          <w:rFonts w:ascii="GHEA Grapalat" w:hAnsi="GHEA Grapalat"/>
          <w:b/>
          <w:color w:val="000000" w:themeColor="text1"/>
        </w:rPr>
        <w:t xml:space="preserve">Հավելված 2-ով </w:t>
      </w:r>
      <w:r>
        <w:rPr>
          <w:rFonts w:ascii="GHEA Grapalat" w:hAnsi="GHEA Grapalat"/>
          <w:color w:val="000000" w:themeColor="text1"/>
        </w:rPr>
        <w:t>սահմանված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 w:eastAsia="Times New Roman" w:cs="Times New Roman"/>
        </w:rPr>
        <w:t>գնահատ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ման թերթիկի, որտեղ նշված չափանիշներից յուրաքանչյուրին տրվում է 0-5 միջակայքում գնահա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տական (0,1 միավորի ճշտությամբ), որտեղ 0-ն՝ նվազագույն և 5-ը՝ առավելագույն միավորն է: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Times New Roman"/>
        </w:rPr>
        <w:t>Փորձագիտական խորհրդի անդամների կողմից 0-5 միջակայքում միավորները տրվում են հետևյալ մեթո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դաբանությամբ</w:t>
      </w:r>
      <w:r>
        <w:rPr>
          <w:rFonts w:ascii="GHEA Grapalat" w:hAnsi="GHEA Grapalat" w:eastAsia="Times New Roman" w:cs="Sylfaen"/>
        </w:rPr>
        <w:t>.</w:t>
      </w:r>
    </w:p>
    <w:p>
      <w:pPr>
        <w:pStyle w:val="45"/>
        <w:spacing w:line="360" w:lineRule="auto"/>
        <w:ind w:left="990"/>
        <w:jc w:val="both"/>
        <w:rPr>
          <w:rFonts w:ascii="GHEA Grapalat" w:hAnsi="GHEA Grapalat" w:eastAsia="Times New Roman" w:cs="Times New Roman"/>
          <w:sz w:val="14"/>
        </w:rPr>
      </w:pPr>
    </w:p>
    <w:tbl>
      <w:tblPr>
        <w:tblStyle w:val="47"/>
        <w:tblW w:w="10374" w:type="dxa"/>
        <w:jc w:val="center"/>
        <w:tblInd w:w="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0-1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-18" w:firstLine="18"/>
              <w:jc w:val="both"/>
              <w:rPr>
                <w:rFonts w:ascii="GHEA Grapalat" w:hAnsi="GHEA Grapalat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բացակայում է կամ այն չի կարող որոշվել տե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ղեկության բացակայության և/կամ սահմանափակության պատճառով,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1-2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  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1260" w:hanging="1260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ներկայացված է մակերեսորեն և անորոշ,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2-3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 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-18" w:firstLine="18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բավարար չէ ամբողջական կարծիք կազմելու համար,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3-4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</w:t>
            </w:r>
          </w:p>
        </w:tc>
        <w:tc>
          <w:tcPr>
            <w:tcW w:w="9024" w:type="dxa"/>
          </w:tcPr>
          <w:p>
            <w:pPr>
              <w:widowControl/>
              <w:tabs>
                <w:tab w:val="left" w:pos="180"/>
                <w:tab w:val="left" w:pos="144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 xml:space="preserve">հարցի պատասխանն, ընդհանուր առմամբ, բավարարում է հարցի պահանջներին, բայց կան զգալի անհամապատասխանություններ,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4-4,5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պատասխանը, ընդհանուր առմամբ, համապատաս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խա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նում է առա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ջադրված պահանջներին, սակայն առ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կա են որոշակի անհամա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պա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տասխա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նու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թյուններ,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4,5-5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լիովին համապատասխանում է հարցի պա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հանջ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ներին և թերություններն աննշան են:</w:t>
            </w:r>
          </w:p>
        </w:tc>
      </w:tr>
    </w:tbl>
    <w:p>
      <w:pPr>
        <w:widowControl/>
        <w:spacing w:line="360" w:lineRule="auto"/>
        <w:jc w:val="both"/>
        <w:rPr>
          <w:rFonts w:ascii="GHEA Grapalat" w:hAnsi="GHEA Grapalat" w:eastAsia="Times New Roman" w:cs="Times New Roman"/>
          <w:sz w:val="14"/>
          <w:lang w:val="en-US"/>
        </w:rPr>
      </w:pP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 xml:space="preserve">Հայտի փորձաքննության վերջնական գնահատականը ձևավորվում է </w:t>
      </w:r>
      <w:r>
        <w:rPr>
          <w:rFonts w:ascii="GHEA Grapalat" w:hAnsi="GHEA Grapalat" w:eastAsia="Times New Roman" w:cs="Sylfaen"/>
          <w:lang w:val="en-US"/>
        </w:rPr>
        <w:t>Փորձագիտական խորհրդի անդամների</w:t>
      </w:r>
      <w:r>
        <w:rPr>
          <w:rFonts w:ascii="GHEA Grapalat" w:hAnsi="GHEA Grapalat" w:eastAsia="Times New Roman" w:cs="Times New Roman"/>
        </w:rPr>
        <w:t xml:space="preserve"> գնահատականների միջին թվաբանականի հիման վրա: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</w:rPr>
        <w:t>Փորձաքննության արդյունքները հաստատվում են Փորձագիտական խորհրդի կողմից՝ հատուկ արձանագրությամբ, որը ներառում է մրցույթին մասնակցու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թյան հայտ ներկա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յացրած կատարողների վար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նիշային ցանկը (ըստ հայտատուների ծածկագրերի):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 xml:space="preserve">Եթե վերջնական փորձագիտական գնահատականը փոքր է գնահատման սանդղակի առավելագույն միավորի 50 տոկոսից, ապա հայտը մերժվում է: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Հայտ ներկայացրած մեկից ավելի կատարող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ների դեպքում նախապատվությունը տրվում է փորձաքննության արդյունք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ներով առավե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լագույն միավոր ստացած կատարողին: Սույն մրցույթի հրավերով կարող են հաղթող ճանաչվել և հետազոտական թեմայում որպես կատարող ընդգրկվել առաջին չորս տեղերը գրաված կատարողները: </w:t>
      </w:r>
    </w:p>
    <w:p>
      <w:pPr>
        <w:pStyle w:val="45"/>
        <w:widowControl/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Հավասար միավորների դեպքում այդ հայտատուներն ընդգրկվում են հետազոտական խմբում: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Փորձագիտական խորհրդի անդամը, ով հանդիսանում է նաև հետազոտական խմբի ղեկավարը, տվյալ թեմայի շրջանակներում ներկայացված հայտի փորձաքննությանը մաս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նակցում է խորհրդակցական ձայնի իրավունքով: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</w:rPr>
        <w:t>Հայտերի փորձաքննության արդյունքները, հետազոտական թեմայի ղեկավարի թեկնածու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 xml:space="preserve">թյունը, ինչպես նաև </w:t>
      </w: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ման համար հատկացված բյուջեն </w:t>
      </w:r>
      <w:r>
        <w:rPr>
          <w:rFonts w:ascii="GHEA Grapalat" w:hAnsi="GHEA Grapalat"/>
          <w:b/>
          <w:color w:val="000000" w:themeColor="text1"/>
        </w:rPr>
        <w:t>(տե´ս Հավելված 3)</w:t>
      </w:r>
      <w:r>
        <w:rPr>
          <w:rFonts w:ascii="GHEA Grapalat" w:hAnsi="GHEA Grapalat"/>
          <w:color w:val="000000" w:themeColor="text1"/>
        </w:rPr>
        <w:t xml:space="preserve"> հաստատվում են Փորձագիտական խորհրդի կողմից:</w:t>
      </w:r>
      <w:r>
        <w:rPr>
          <w:rFonts w:ascii="GHEA Grapalat" w:hAnsi="GHEA Grapalat" w:eastAsia="Times New Roman" w:cs="Times New Roman"/>
        </w:rPr>
        <w:t xml:space="preserve">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Փորձա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գի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տական խորհրդի կողմից հաստատված՝ Հայտերի փորձաքննության արդյունք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ները, ինչպես նաև </w:t>
      </w: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համար հատկացված բյուջեն</w:t>
      </w:r>
      <w:r>
        <w:rPr>
          <w:rFonts w:ascii="GHEA Grapalat" w:hAnsi="GHEA Grapalat" w:eastAsia="Times New Roman" w:cs="Sylfaen"/>
        </w:rPr>
        <w:t xml:space="preserve"> Փորձագիտական խորհրդի նախագահը ներ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յաց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նում է Համալսարանի ռեկտորին: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Համալսարանի ռեկտորը, ելնելով փորձաքննության արդյունքներից, հրամանագրում է ֆինան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սա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վորման ենթակա հետազոտական խմբերին, հաստատում է իրա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կանացման ենթակա հետազոտական թեմաների ցանկը, դրանց ղեկավարների և կատա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րողների ցուցակը՝ նշելով յուրաքանչյուր գիտական թեմայի կատարման համար նախատեսվող գումարի հատկացման չափը: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արդյունքում հաղթած հետազոտական խմբի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րողների հետ կնքվում են ծառայությունների մատուցման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խան պայմանագ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րեր, որոնք գործում են մինչև հետազոտական թեմայի ժամ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տի ավարտը: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Պ</w:t>
      </w:r>
      <w:r>
        <w:rPr>
          <w:rFonts w:ascii="GHEA Grapalat" w:hAnsi="GHEA Grapalat"/>
          <w:color w:val="000000" w:themeColor="text1"/>
        </w:rPr>
        <w:t>այմանագրերում հետազոտական խմբի կատարողների գործա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ռույթ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վում են սույն մրցութային հրավերով և տեխնիկական առաջադրանքով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Պ</w:t>
      </w:r>
      <w:r>
        <w:rPr>
          <w:rFonts w:ascii="GHEA Grapalat" w:hAnsi="GHEA Grapalat"/>
          <w:color w:val="000000" w:themeColor="text1"/>
        </w:rPr>
        <w:t>այմանագրերում կատարողների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քի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թյունը և պարբերականու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թյունը սահմանվում են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</w:t>
      </w:r>
      <w:r>
        <w:rPr>
          <w:rStyle w:val="8"/>
          <w:rFonts w:ascii="GHEA Grapalat" w:hAnsi="GHEA Grapalat"/>
          <w:b/>
        </w:rPr>
        <w:softHyphen/>
      </w:r>
      <w:r>
        <w:rPr>
          <w:rStyle w:val="8"/>
          <w:rFonts w:ascii="GHEA Grapalat" w:hAnsi="GHEA Grapalat"/>
          <w:b/>
        </w:rPr>
        <w:t>գի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color w:val="000000" w:themeColor="text1"/>
        </w:rPr>
        <w:t xml:space="preserve"> 32-38-րդ կե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պատասխան՝ ըստ հայտում ներկա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յացված հաստիքացուցակի: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/>
          <w:color w:val="000000" w:themeColor="text1"/>
        </w:rPr>
        <w:t>Հետազոտական խմբի ղեկավարի հետ ծառայությունների մատուցման պայմանագիր չի կնքվում, նրա գործա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ռույթ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վում են սույն մրցութային հրավերով և տեխ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կական առաջադրանքով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5. ՀԵՏԱԶՈՏԱԿԱՆ ԹԵՄԱՆԵՐԻ ԿԱՏԱՐՄԱՆ ԺԱՄԿԵՏՆԵՐԻ ԵՎ ՏԵԽՆԻԿԱԿԱՆ ԱՌԱՋԱԴՐԱՆՔԻ ՊԱՀԱՆՋՆԵՐԻ ՆԿԱՏՄԱՄԲ ՎԵՐԱՀՍԿՈՂՈՒԹՅՈՒՆԸ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կատարումը պարտադիր է սույն մրցութային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մանված ժամկետներում: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կատարումը պարտադիր է սույն մրցութային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տեխնիկական առաջադրանքի պայմաններին և արդյունքների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րակայ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նացման ժամանակացույցին ու սահմանված ձևաչափին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կատարմամբ պարտադիր պետք է ապահովվեն սույն մրցույթի հրավերով սահմանված ակնկալվող արդյունքները, ինչպես նաև կատարողի կողմից ներկայացված հավելյալ արդյունքները: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ժամկետի ավարտին հետազոտական խումբը Կենտրոնին է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կայացնում իրա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կանացված հետազոտության հաշվետվությունը,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թյամբ ապահովված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ներառող հրապարակման ենթակա նյութերը (ներառ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յալ հետազոտության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յունքներն արտացոլող հրապարակման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յացված նյութի ծավալի 1/4-ը կազմող անգ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լերեն և ռուսերեն լեզվով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ռոտագրերը):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ժամկետներում ավարտին չհասցված, կամ սույն մրցույթի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պարտադիր նվազագույն արդյունքները չապահոված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տական խումբը վճարում է տուժանք, պայմանագրի արժեքի 25%-ի չափով: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ժամկետներում ավարտին չհասցված, կամ սույն մրցույթի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պարտադիր նվազագույն արդյունքները չապահոված հետազոտա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խմբերի կատարողները զրկվում են հաջորդող երկու հաշվետու տարիների ընթացքում Համալսա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րանի ֆինանսավորմամբ որևէ հետազոտական ծրագրի մասնակցելու իրավունքից: 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Բացառիկ</w:t>
      </w:r>
      <w:r>
        <w:rPr>
          <w:rFonts w:ascii="GHEA Grapalat" w:hAnsi="GHEA Grapalat"/>
          <w:color w:val="000000" w:themeColor="text1"/>
        </w:rPr>
        <w:t xml:space="preserve"> դեպքերում, երբ առաջացել է հետազոտական թեմայի կատարման ժամկետի երկարա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ձգման անհրաժեշտություն (կապված նոր իրողությունների ի հայտ գալու և, դրանցով պայմանավորված, նոր առաջարկների փաթեթներ ու դրանց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մեթո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դական երաշխավորություններ մշակելու անհրաժեշ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տության հետ), Փորձագիտական խորհրդի որոշմամբ, Կենտրոնի տնօրենը, թեմայի ղեկավարի զեկուցագրի հիման վրա կարող է 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ձգել թեմայի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րումը ոչ ավելի, քան վեց ամիս ժամկետով՝ առանց լրա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ցուցիչ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րության: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թեմաների համակարգումը և ընթացիկ վերահսկողությունն իրա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նացվում է Կենտրոնի տնօրենի կողմից: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ընթացիկ վերահսկողության բաղադրիչներ են.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խմբի ղեկավարի կողմից հաստատված հետազոտության ընթացքի և ապահովված փաստացի արդյունքների վերաբերյալ միջանկյալ և ամփոփ հաշ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վետվությունների ժամանակացույցերը,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խմբի ղեկավարի կողմից հաստատված հետազոտական արդյունք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ներհամալսարանական և հանրային քննարկումների կազմա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կերպման ժամա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կացույցերը,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տեխնիկական առաջադրանքով սահմանված այլ գործողու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 (վերլու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ծական ակնարկների, գիտական հոդվածների և այլ նյութերի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կում) համար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մանված ժամանակացույցերը և փաստացի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խմբի ղեկավարի կողմից թեմայի կատարողներին վերապահված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ների կատարման հաշվետվությունը, 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աշխատանքի վարձատրությունից բացի հետազոտության նախահաշվով նա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այլ ֆինանսական ծախսերի փաստաթղթային հիմնավորում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տեխնիկական առաջադրանքով սահմանված վերջնական հրապարակման ներկա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վող հիմնական արդյունքները ներառող հաշվե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տվությունը և դրա երկլեզու համառոտագրերը: 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աշխատանքները չկատարելու կամ ոչ պատշաճ կատարելու, ինչպես նաև պայմանագրով նախատեսված ժամկետներում չկատարելու դեպքում  հետազոտական խմբի անդամները կրում են պատասխանատվություն օրենսդրու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թյանը համապատասխան:</w:t>
      </w:r>
    </w:p>
    <w:p>
      <w:pPr>
        <w:pStyle w:val="45"/>
        <w:spacing w:line="360" w:lineRule="auto"/>
        <w:ind w:left="993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pStyle w:val="45"/>
        <w:spacing w:line="360" w:lineRule="auto"/>
        <w:ind w:left="993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pStyle w:val="45"/>
        <w:spacing w:line="360" w:lineRule="auto"/>
        <w:ind w:left="993"/>
        <w:jc w:val="center"/>
        <w:rPr>
          <w:rFonts w:ascii="GHEA Grapalat" w:hAnsi="GHEA Grapalat"/>
          <w:color w:val="000000" w:themeColor="text1"/>
        </w:rPr>
      </w:pPr>
      <w:bookmarkStart w:id="2" w:name="_GoBack"/>
      <w:bookmarkEnd w:id="2"/>
      <w:r>
        <w:rPr>
          <w:rFonts w:ascii="GHEA Grapalat" w:hAnsi="GHEA Grapalat" w:eastAsia="Times New Roman" w:cs="Sylfaen"/>
          <w:b/>
          <w:lang w:eastAsia="ru-RU"/>
        </w:rPr>
        <w:br w:type="page"/>
      </w:r>
      <w:r>
        <w:rPr>
          <w:rFonts w:ascii="GHEA Grapalat" w:hAnsi="GHEA Grapalat" w:eastAsia="Times New Roman" w:cs="Sylfaen"/>
          <w:b/>
          <w:lang w:eastAsia="ru-RU"/>
        </w:rPr>
        <w:t>ՀԱՎԵԼՎԱԾ 1</w:t>
      </w: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 Unicode"/>
          <w:b/>
        </w:rPr>
      </w:pPr>
      <w:r>
        <w:rPr>
          <w:rFonts w:ascii="GHEA Grapalat" w:hAnsi="GHEA Grapalat" w:eastAsia="Times New Roman" w:cs="Arial Unicode"/>
          <w:b/>
        </w:rPr>
        <w:t>ՀԱՅԱՍՏԱՆԻ ՊԵՏԱԿԱՆ ՏՆՏԵՍԱԳԻՏԱԿԱՆ ՀԱՄԱԼՍԱՐԱՆԻ «ԱՄԲԵՐԴ» ՀԵՏԱԶՈՏԱԿԱՆ ԿԵՆՏՐՈՆԻ ԱՇԽԱՏԱԿԱԶՄԻ ԿՈՂՄԻՑ ՈՒՍԱՆՈՂՆԵՐԻ, ՄԱԳԻՍՏՐԱՆՏՆԵՐԻ ԵՎ ԱՍՊԻՐԱՆՏՆԵՐԻ ՆԵՐԳՐԱՎՄԱՄԲ ՀԵՏԱԶՈՏԱԿԱՆ ԹԵՄԱՆԵՐԻ  ՖԻՆԱՆՍԱՎՈՐՄԱՆ ՀԱՅՏ</w:t>
      </w:r>
    </w:p>
    <w:p>
      <w:pPr>
        <w:spacing w:line="360" w:lineRule="auto"/>
        <w:ind w:left="363"/>
        <w:jc w:val="right"/>
        <w:rPr>
          <w:rFonts w:ascii="GHEA Grapalat" w:hAnsi="GHEA Grapalat" w:eastAsia="Times New Roman" w:cs="Times New Roman"/>
          <w:b/>
          <w:lang w:val="ro-RO"/>
        </w:rPr>
      </w:pPr>
      <w:r>
        <w:rPr>
          <w:rFonts w:ascii="GHEA Grapalat" w:hAnsi="GHEA Grapalat" w:eastAsia="Times New Roman" w:cs="Times New Roman"/>
          <w:b/>
          <w:lang w:val="ro-RO"/>
        </w:rPr>
        <w:t xml:space="preserve">                   </w:t>
      </w:r>
      <w:r>
        <w:rPr>
          <w:rFonts w:ascii="GHEA Grapalat" w:hAnsi="GHEA Grapalat" w:eastAsia="Times New Roman" w:cs="Times New Roman"/>
          <w:b/>
        </w:rPr>
        <w:t>Հայտը հանձնված է «_____» ______________ 20</w:t>
      </w:r>
      <w:r>
        <w:rPr>
          <w:rFonts w:ascii="GHEA Grapalat" w:hAnsi="GHEA Grapalat" w:eastAsia="Times New Roman" w:cs="Times New Roman"/>
          <w:b/>
          <w:lang w:val="ro-RO"/>
        </w:rPr>
        <w:t xml:space="preserve">__ </w:t>
      </w:r>
      <w:r>
        <w:rPr>
          <w:rFonts w:ascii="GHEA Grapalat" w:hAnsi="GHEA Grapalat" w:eastAsia="Times New Roman" w:cs="Times New Roman"/>
          <w:b/>
        </w:rPr>
        <w:t>թ.</w:t>
      </w:r>
      <w:r>
        <w:rPr>
          <w:rFonts w:ascii="GHEA Grapalat" w:hAnsi="GHEA Grapalat" w:eastAsia="Times New Roman" w:cs="Times New Roman"/>
          <w:b/>
        </w:rPr>
        <w:tab/>
      </w:r>
    </w:p>
    <w:p>
      <w:pPr>
        <w:spacing w:line="360" w:lineRule="auto"/>
        <w:ind w:left="363"/>
        <w:jc w:val="right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 xml:space="preserve">Ծածկագիր՝ </w:t>
      </w:r>
      <w:r>
        <w:rPr>
          <w:rFonts w:ascii="GHEA Grapalat" w:hAnsi="GHEA Grapalat" w:eastAsia="Times New Roman" w:cs="Times New Roman"/>
          <w:b/>
          <w:lang w:val="ro-RO"/>
        </w:rPr>
        <w:t>__________________</w:t>
      </w:r>
      <w:r>
        <w:rPr>
          <w:rFonts w:ascii="GHEA Grapalat" w:hAnsi="GHEA Grapalat" w:eastAsia="Times New Roman" w:cs="Times New Roman"/>
          <w:b/>
        </w:rPr>
        <w:t>_____________</w:t>
      </w:r>
    </w:p>
    <w:p>
      <w:pPr>
        <w:ind w:left="363"/>
        <w:jc w:val="right"/>
        <w:rPr>
          <w:rFonts w:ascii="GHEA Grapalat" w:hAnsi="GHEA Grapalat" w:eastAsia="Times New Roman" w:cs="Times New Roman"/>
          <w:b/>
          <w:sz w:val="18"/>
          <w:szCs w:val="18"/>
        </w:rPr>
      </w:pPr>
      <w:r>
        <w:rPr>
          <w:rFonts w:ascii="GHEA Grapalat" w:hAnsi="GHEA Grapalat" w:eastAsia="Times New Roman" w:cs="Times New Roman"/>
          <w:b/>
          <w:sz w:val="18"/>
          <w:szCs w:val="18"/>
        </w:rPr>
        <w:t>(լրացվում է հանձման ժամանակ)</w:t>
      </w: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"/>
          <w:b/>
          <w:color w:val="333333"/>
          <w:sz w:val="16"/>
        </w:rPr>
      </w:pP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"/>
          <w:b/>
          <w:color w:val="333333"/>
        </w:rPr>
      </w:pPr>
      <w:r>
        <w:rPr>
          <w:rFonts w:ascii="GHEA Grapalat" w:hAnsi="GHEA Grapalat" w:eastAsia="Times New Roman" w:cs="Arial"/>
          <w:b/>
          <w:color w:val="333333"/>
        </w:rPr>
        <w:t>ՏԻՏՂՈՍԱԹԵՐԹ</w:t>
      </w:r>
    </w:p>
    <w:tbl>
      <w:tblPr>
        <w:tblStyle w:val="47"/>
        <w:tblW w:w="10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8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>Հետազոտական թեմայի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 xml:space="preserve"> վերնագիրը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Հուշող (բանալի) բառեր (15 բառից ոչ ավելի)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Ազգանուն, անուն, հայրանուն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Ծննդյան տարեթիվը և ծննդավայրը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Կրթությունը (բուհը, մասնագիտությունը)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Վերջին թեզի ծածկագիրը, պաշտպանության տարեթիվը և վայրը (բացառությամբ բակալավրիատի ուսանողների)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Հայտատուի կարգավիճակը (բակալավրիատի ուսանող, մագիստրանտ, ասպիրանտ)*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Հեռախոսը (աշխատանքի, տան, բջջային)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Էլեկտրոնային հասցեն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1.</w:t>
            </w:r>
          </w:p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2.</w:t>
            </w:r>
          </w:p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 xml:space="preserve">Հայտատուի 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ստորագրությունը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«____» ________________ 20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>__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 xml:space="preserve"> թ.</w:t>
            </w:r>
          </w:p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</w:tbl>
    <w:p>
      <w:pPr>
        <w:widowControl/>
        <w:tabs>
          <w:tab w:val="left" w:pos="851"/>
        </w:tabs>
        <w:ind w:left="357"/>
        <w:rPr>
          <w:rFonts w:ascii="GHEA Grapalat" w:hAnsi="GHEA Grapalat" w:eastAsia="Times New Roman" w:cs="Times New Roman"/>
          <w:sz w:val="20"/>
          <w:szCs w:val="20"/>
          <w:lang w:val="pt-BR"/>
        </w:rPr>
      </w:pPr>
      <w:r>
        <w:rPr>
          <w:rFonts w:ascii="GHEA Grapalat" w:hAnsi="GHEA Grapalat" w:eastAsia="Times New Roman" w:cs="Times New Roman"/>
          <w:sz w:val="20"/>
          <w:szCs w:val="20"/>
          <w:lang w:val="pt-BR"/>
        </w:rPr>
        <w:t>*Ներկայացվում է համապատասխան տեղեկանք, բակալավրիատի ուսանողների և մագիստրանտների համար՝     նաև առաջադիմության մասին, իսկ ասպիրանտների համար՝ նաև թեկածուական ատենախոսության թեման:</w:t>
      </w:r>
    </w:p>
    <w:p>
      <w:pPr>
        <w:rPr>
          <w:rFonts w:ascii="GHEA Grapalat" w:hAnsi="GHEA Grapalat" w:eastAsia="Times New Roman" w:cs="Times New Roman"/>
          <w:lang w:val="pt-BR"/>
        </w:rPr>
      </w:pPr>
      <w:r>
        <w:rPr>
          <w:rFonts w:ascii="GHEA Grapalat" w:hAnsi="GHEA Grapalat" w:eastAsia="Times New Roman" w:cs="Times New Roman"/>
          <w:lang w:val="pt-BR"/>
        </w:rPr>
        <w:br w:type="page"/>
      </w:r>
    </w:p>
    <w:p>
      <w:pPr>
        <w:pStyle w:val="45"/>
        <w:widowControl/>
        <w:numPr>
          <w:ilvl w:val="0"/>
          <w:numId w:val="12"/>
        </w:numPr>
        <w:tabs>
          <w:tab w:val="left" w:pos="851"/>
        </w:tabs>
        <w:spacing w:after="200" w:line="360" w:lineRule="auto"/>
        <w:rPr>
          <w:rFonts w:ascii="GHEA Grapalat" w:hAnsi="GHEA Grapalat" w:eastAsia="Times New Roman" w:cs="Times New Roman"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ՀԵՏԱԶՈՏԱԿԱՆ ԹԵՄԱՅԻ ՆՊԱՏԱԿՆԵՐԸ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ԵՎ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ԽՆԴԻՐՆԵՐԸ (1- 2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ՀԵՏԱԶՈՏԱԿԱՆ ԹԵՄԱՅԻ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ԱՐԴԻԱԿԱՆՈՒԹՅՈՒՆԸ (6-8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ՏԵՂԵԿԱՏՎԱԿԱՆ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ԵՎ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ՄԵԹՈԴԱԿԱՆ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ՀԻՄՔԵՐԸ</w:t>
      </w:r>
      <w:r>
        <w:rPr>
          <w:rFonts w:ascii="GHEA Grapalat" w:hAnsi="GHEA Grapalat" w:eastAsia="Times New Roman" w:cs="Times New Roman"/>
          <w:b/>
          <w:lang w:val="pt-BR"/>
        </w:rPr>
        <w:t xml:space="preserve">  </w:t>
      </w:r>
    </w:p>
    <w:p>
      <w:pPr>
        <w:pStyle w:val="45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lang w:val="pt-BR"/>
        </w:rPr>
        <w:t>(</w:t>
      </w:r>
      <w:r>
        <w:rPr>
          <w:rFonts w:ascii="GHEA Grapalat" w:hAnsi="GHEA Grapalat" w:eastAsia="Times New Roman" w:cs="Times New Roman"/>
        </w:rPr>
        <w:t>Հայտում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պարտադիր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է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մանրամասնել՝</w:t>
      </w:r>
      <w:r>
        <w:rPr>
          <w:rFonts w:ascii="GHEA Grapalat" w:hAnsi="GHEA Grapalat" w:eastAsia="Times New Roman" w:cs="Times New Roman"/>
          <w:lang w:val="pt-BR"/>
        </w:rPr>
        <w:t xml:space="preserve">  հետազոտության ուղղությունները և վեր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լու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ծության ենթակա ցուցանիշների համախումբը</w:t>
      </w:r>
      <w:r>
        <w:rPr>
          <w:rFonts w:ascii="GHEA Grapalat" w:hAnsi="GHEA Grapalat" w:eastAsia="Times New Roman" w:cs="Times New Roman"/>
        </w:rPr>
        <w:t>,</w:t>
      </w:r>
      <w:r>
        <w:rPr>
          <w:rFonts w:ascii="GHEA Grapalat" w:hAnsi="GHEA Grapalat" w:eastAsia="Times New Roman" w:cs="Times New Roman"/>
          <w:lang w:val="pt-BR"/>
        </w:rPr>
        <w:t xml:space="preserve"> տեղեկատվության հավա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քա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գրման, մշակման, կանխատեսումների և որոշումների կայացման համար անհրա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ժեշտ գործիքների համախումբը)</w:t>
      </w:r>
      <w:r>
        <w:rPr>
          <w:rFonts w:ascii="GHEA Grapalat" w:hAnsi="GHEA Grapalat" w:eastAsia="Times New Roman" w:cs="Times New Roman"/>
        </w:rPr>
        <w:t>։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ՀԵՏԱԶՈՏՈՒԹՅԱՄԲ ԱԿՆԿԱԼՎՈ</w:t>
      </w:r>
      <w:r>
        <w:rPr>
          <w:rFonts w:ascii="GHEA Grapalat" w:hAnsi="GHEA Grapalat" w:eastAsia="Times New Roman" w:cs="Times New Roman"/>
          <w:b/>
          <w:lang w:val="pt-BR"/>
        </w:rPr>
        <w:t xml:space="preserve">Ղ </w:t>
      </w:r>
      <w:r>
        <w:rPr>
          <w:rFonts w:ascii="GHEA Grapalat" w:hAnsi="GHEA Grapalat" w:eastAsia="Times New Roman" w:cs="Times New Roman"/>
          <w:b/>
        </w:rPr>
        <w:t>ԱՐԴՅՈՒՆՔՆԵՐ</w:t>
      </w:r>
      <w:r>
        <w:rPr>
          <w:rFonts w:ascii="GHEA Grapalat" w:hAnsi="GHEA Grapalat" w:eastAsia="Times New Roman" w:cs="Times New Roman"/>
          <w:b/>
          <w:lang w:val="pt-BR"/>
        </w:rPr>
        <w:t>Ը  (1-2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ՀԵՏԱԶՈՏՈՒԹՅԱՆ</w:t>
      </w:r>
      <w:r>
        <w:rPr>
          <w:rFonts w:ascii="GHEA Grapalat" w:hAnsi="GHEA Grapalat" w:eastAsia="Times New Roman" w:cs="Times New Roman"/>
          <w:b/>
          <w:lang w:val="pt-BR"/>
        </w:rPr>
        <w:t xml:space="preserve"> ԱՎԱՐՏԱԿԱՆ ՁԵՎԸ </w:t>
      </w:r>
      <w:r>
        <w:rPr>
          <w:rFonts w:ascii="GHEA Grapalat" w:hAnsi="GHEA Grapalat" w:eastAsia="Times New Roman" w:cs="Times New Roman"/>
          <w:b/>
        </w:rPr>
        <w:t>Ե</w:t>
      </w:r>
      <w:r>
        <w:rPr>
          <w:rFonts w:ascii="GHEA Grapalat" w:hAnsi="GHEA Grapalat" w:eastAsia="Times New Roman" w:cs="Times New Roman"/>
          <w:b/>
          <w:lang w:val="pt-BR"/>
        </w:rPr>
        <w:t xml:space="preserve">Վ </w:t>
      </w:r>
      <w:r>
        <w:rPr>
          <w:rFonts w:ascii="GHEA Grapalat" w:hAnsi="GHEA Grapalat" w:eastAsia="Times New Roman" w:cs="Times New Roman"/>
          <w:b/>
        </w:rPr>
        <w:t>ԺԱՄԱՆԱԿԱՑՈՒՅՑ</w:t>
      </w:r>
      <w:r>
        <w:rPr>
          <w:rFonts w:ascii="GHEA Grapalat" w:hAnsi="GHEA Grapalat" w:eastAsia="Times New Roman" w:cs="Times New Roman"/>
          <w:b/>
          <w:lang w:val="pt-BR"/>
        </w:rPr>
        <w:t>Ը</w:t>
      </w:r>
    </w:p>
    <w:p>
      <w:pPr>
        <w:pStyle w:val="45"/>
        <w:tabs>
          <w:tab w:val="left" w:pos="1418"/>
        </w:tabs>
        <w:ind w:left="1080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  <w:lang w:val="pt-BR"/>
        </w:rPr>
        <w:t>(Ներ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կայացվում է հետազոտության փուլերի նկարագիրը, յուրաքանչյուր փուլի ակնկալվող արդյունքները և կատարման ժամկետը)</w:t>
      </w:r>
      <w:r>
        <w:rPr>
          <w:rFonts w:ascii="GHEA Grapalat" w:hAnsi="GHEA Grapalat" w:eastAsia="Times New Roman" w:cs="Times New Roman"/>
        </w:rPr>
        <w:t>։</w:t>
      </w:r>
    </w:p>
    <w:p>
      <w:pPr>
        <w:pStyle w:val="45"/>
        <w:tabs>
          <w:tab w:val="left" w:pos="1560"/>
          <w:tab w:val="left" w:pos="2160"/>
        </w:tabs>
        <w:spacing w:after="360"/>
        <w:ind w:left="1080" w:right="533" w:hanging="87"/>
        <w:rPr>
          <w:rFonts w:ascii="GHEA Grapalat" w:hAnsi="GHEA Grapalat" w:eastAsia="Times New Roman" w:cs="Times New Roman"/>
          <w:b/>
          <w:sz w:val="6"/>
          <w:lang w:val="pt-BR"/>
        </w:rPr>
      </w:pPr>
    </w:p>
    <w:p>
      <w:pPr>
        <w:pStyle w:val="45"/>
        <w:tabs>
          <w:tab w:val="left" w:pos="1560"/>
          <w:tab w:val="left" w:pos="2160"/>
        </w:tabs>
        <w:spacing w:after="360"/>
        <w:ind w:left="1080" w:right="533"/>
        <w:jc w:val="center"/>
        <w:rPr>
          <w:rFonts w:ascii="GHEA Grapalat" w:hAnsi="GHEA Grapalat" w:eastAsia="Times New Roman" w:cs="Times New Roman"/>
          <w:lang w:val="pt-BR"/>
        </w:rPr>
      </w:pPr>
    </w:p>
    <w:tbl>
      <w:tblPr>
        <w:tblStyle w:val="9"/>
        <w:tblW w:w="10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685"/>
        <w:gridCol w:w="3261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ընթացիկ և ավարտական փուլերում կատարվող աշխատանքների նկարագիրը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Ակնկալվող արդյունքը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Կատարման ժամկետը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….փուլ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Ավարտական</w:t>
            </w:r>
          </w:p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հաշվետվություն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>
      <w:pPr>
        <w:spacing w:before="120" w:after="360"/>
        <w:ind w:left="780" w:right="533"/>
        <w:contextualSpacing/>
        <w:jc w:val="center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spacing w:before="120" w:after="360"/>
        <w:ind w:left="780" w:right="533"/>
        <w:contextualSpacing/>
        <w:jc w:val="center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shd w:val="clear" w:color="auto" w:fill="FFFFFF"/>
        <w:spacing w:after="360" w:line="360" w:lineRule="atLeast"/>
        <w:jc w:val="both"/>
        <w:textAlignment w:val="baseline"/>
        <w:rPr>
          <w:rFonts w:ascii="GHEA Grapalat" w:hAnsi="GHEA Grapalat" w:eastAsia="Times New Roman" w:cs="Sylfaen"/>
          <w:color w:val="333333"/>
          <w:lang w:val="af-ZA"/>
        </w:rPr>
      </w:pPr>
    </w:p>
    <w:p>
      <w:pPr>
        <w:rPr>
          <w:rFonts w:ascii="GHEA Grapalat" w:hAnsi="GHEA Grapalat" w:eastAsia="Times New Roman" w:cs="Sylfaen"/>
          <w:b/>
          <w:lang w:eastAsia="ru-RU"/>
        </w:rPr>
      </w:pPr>
      <w:r>
        <w:rPr>
          <w:rFonts w:ascii="GHEA Grapalat" w:hAnsi="GHEA Grapalat" w:eastAsia="Times New Roman" w:cs="Sylfaen"/>
          <w:b/>
          <w:lang w:eastAsia="ru-RU"/>
        </w:rPr>
        <w:br w:type="page"/>
      </w:r>
    </w:p>
    <w:p>
      <w:pPr>
        <w:spacing w:line="360" w:lineRule="auto"/>
        <w:ind w:firstLine="360"/>
        <w:jc w:val="right"/>
        <w:rPr>
          <w:rFonts w:ascii="GHEA Grapalat" w:hAnsi="GHEA Grapalat" w:eastAsia="Times New Roman" w:cs="Sylfaen"/>
          <w:b/>
          <w:lang w:val="en-US" w:eastAsia="ru-RU"/>
        </w:rPr>
      </w:pPr>
      <w:r>
        <w:rPr>
          <w:rFonts w:ascii="GHEA Grapalat" w:hAnsi="GHEA Grapalat" w:eastAsia="Times New Roman" w:cs="Sylfaen"/>
          <w:b/>
          <w:lang w:eastAsia="ru-RU"/>
        </w:rPr>
        <w:t>ՀԱՎԵԼՎԱԾ 2</w:t>
      </w: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 Unicode"/>
          <w:b/>
        </w:rPr>
      </w:pPr>
      <w:r>
        <w:rPr>
          <w:rFonts w:ascii="GHEA Grapalat" w:hAnsi="GHEA Grapalat" w:eastAsia="Times New Roman" w:cs="Arial Unicode"/>
          <w:b/>
        </w:rPr>
        <w:t>ՀԱՅԱՍՏԱՆԻ ՊԵՏԱԿԱՆ ՏՆՏԵՍԱԳԻՏԱԿԱՆ ՀԱՄԱԼՍԱՐԱՆԻ «ԱՄԲԵՐԴ» ՀԵՏԱԶՈՏԱԿԱՆ ԿԵՆՏՐՈՆԻ ԿՈՂՄԻՑ ՈՒՍԱՆՈՂՆԵՐԻ</w:t>
      </w:r>
      <w:r>
        <w:rPr>
          <w:rFonts w:ascii="GHEA Grapalat" w:hAnsi="GHEA Grapalat" w:eastAsia="Times New Roman" w:cs="Arial Unicode"/>
          <w:b/>
          <w:lang w:val="en-US"/>
        </w:rPr>
        <w:t>, ՄԱԳԻՍՏՐԱՆՏՆԵՐԻ</w:t>
      </w:r>
      <w:r>
        <w:rPr>
          <w:rFonts w:ascii="GHEA Grapalat" w:hAnsi="GHEA Grapalat" w:eastAsia="Times New Roman" w:cs="Arial Unicode"/>
          <w:b/>
        </w:rPr>
        <w:t xml:space="preserve"> ԵՎ ԱՍՊԻՐԱՆՏՆԵՐԻ ՆԵՐԳՐԱՎՄԱՄԲ ՀԵՏԱԶՈՏԱԿԱՆ ԹԵՄԱՆԵՐԻ  ՖԻՆԱՆՍԱՎՈՐՄԱՆ ՀԱՅՏԻ ԳՆԱՀԱՏՄԱՆ ԹԵՐԹԻԿ</w:t>
      </w:r>
    </w:p>
    <w:p>
      <w:pPr>
        <w:spacing w:line="360" w:lineRule="auto"/>
        <w:ind w:firstLine="360"/>
        <w:jc w:val="center"/>
        <w:rPr>
          <w:rFonts w:ascii="GHEA Grapalat" w:hAnsi="GHEA Grapalat" w:eastAsia="Times New Roman" w:cs="Sylfaen"/>
        </w:rPr>
      </w:pPr>
    </w:p>
    <w:tbl>
      <w:tblPr>
        <w:tblStyle w:val="9"/>
        <w:tblW w:w="9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021"/>
        <w:gridCol w:w="2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</w:t>
            </w:r>
            <w:r>
              <w:rPr>
                <w:rFonts w:ascii="GHEA Grapalat" w:hAnsi="GHEA Grapalat"/>
                <w:b/>
              </w:rPr>
              <w:t>/</w:t>
            </w:r>
            <w:r>
              <w:rPr>
                <w:rFonts w:ascii="GHEA Grapalat" w:hAnsi="GHEA Grapalat" w:cs="Sylfaen"/>
                <w:b/>
              </w:rPr>
              <w:t>հ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Գնահատման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չափանիշները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Գնահատականը</w:t>
            </w:r>
            <w:r>
              <w:rPr>
                <w:rFonts w:ascii="GHEA Grapalat" w:hAnsi="GHEA Grapalat"/>
                <w:b/>
              </w:rPr>
              <w:t xml:space="preserve">, </w:t>
            </w:r>
          </w:p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միավոր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Հետազոտության հիմնախնդրի դրվածքի և օբյեկտի նկարագիրը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Հետազոտության ընտրված մեթոդաբանությունը և գործիքակազմը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տեխնիկական առաջադրանքը գերազանցող ակնկալվող արդյունքների առկայությունը (բացակայությունը)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արդյունքների հրապարակայնացման ժամանակացույցը և ընտրված ձևաչափերը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Արդյունքների</w:t>
            </w:r>
            <w:r>
              <w:rPr>
                <w:rFonts w:ascii="GHEA Grapalat" w:hAnsi="GHEA Grapalat"/>
              </w:rPr>
              <w:t xml:space="preserve"> գործնական </w:t>
            </w:r>
            <w:r>
              <w:rPr>
                <w:rFonts w:ascii="GHEA Grapalat" w:hAnsi="GHEA Grapalat" w:cs="Sylfaen"/>
              </w:rPr>
              <w:t>կիրառելիությունը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Ուսումնական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գործընթացում արդյունքների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ինտեգրման հնարավորությունը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Կատարման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ժամանակացույցի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հիմնավորվածությունը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Հայտի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համապատասխանությունը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մրցույթի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պահանջներին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</w:p>
        </w:tc>
      </w:tr>
    </w:tbl>
    <w:p>
      <w:pPr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br w:type="page"/>
      </w:r>
    </w:p>
    <w:p>
      <w:pPr>
        <w:pStyle w:val="45"/>
        <w:widowControl/>
        <w:spacing w:before="120" w:after="360"/>
        <w:ind w:left="1080" w:right="533"/>
        <w:jc w:val="right"/>
        <w:rPr>
          <w:rFonts w:ascii="GHEA Grapalat" w:hAnsi="GHEA Grapalat" w:eastAsia="Times New Roman" w:cs="Times New Roman"/>
          <w:b/>
          <w:lang w:val="pt-BR" w:eastAsia="ru-RU"/>
        </w:rPr>
      </w:pPr>
      <w:r>
        <w:rPr>
          <w:rFonts w:ascii="GHEA Grapalat" w:hAnsi="GHEA Grapalat" w:eastAsia="Times New Roman" w:cs="Times New Roman"/>
          <w:b/>
          <w:lang w:val="pt-BR" w:eastAsia="ru-RU"/>
        </w:rPr>
        <w:t>ՀԱՎԵԼՎԱԾ N 3</w:t>
      </w:r>
    </w:p>
    <w:p>
      <w:pPr>
        <w:pStyle w:val="45"/>
        <w:widowControl/>
        <w:spacing w:before="120" w:after="360"/>
        <w:ind w:left="1080" w:right="533"/>
        <w:jc w:val="right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pStyle w:val="45"/>
        <w:widowControl/>
        <w:numPr>
          <w:ilvl w:val="0"/>
          <w:numId w:val="13"/>
        </w:numPr>
        <w:spacing w:before="120" w:after="360"/>
        <w:ind w:right="533"/>
        <w:jc w:val="center"/>
        <w:rPr>
          <w:rFonts w:ascii="GHEA Grapalat" w:hAnsi="GHEA Grapalat" w:eastAsia="Times New Roman" w:cs="Times New Roman"/>
          <w:b/>
          <w:lang w:eastAsia="ru-RU"/>
        </w:rPr>
      </w:pPr>
      <w:r>
        <w:rPr>
          <w:rFonts w:ascii="GHEA Grapalat" w:hAnsi="GHEA Grapalat" w:eastAsia="Times New Roman" w:cs="Times New Roman"/>
          <w:b/>
        </w:rPr>
        <w:t>ՀԵՏԱԶՈՏԱԿԱՆ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ԹԵՄԱՅԻ</w:t>
      </w:r>
      <w:r>
        <w:rPr>
          <w:rFonts w:ascii="GHEA Grapalat" w:hAnsi="GHEA Grapalat" w:eastAsia="Times New Roman" w:cs="Times New Roman"/>
          <w:b/>
          <w:lang w:val="pt-BR" w:eastAsia="ru-RU"/>
        </w:rPr>
        <w:t xml:space="preserve"> ԿԱՏԱՐՈՂՆԵՐԻ </w:t>
      </w:r>
      <w:r>
        <w:rPr>
          <w:rFonts w:ascii="GHEA Grapalat" w:hAnsi="GHEA Grapalat" w:eastAsia="Times New Roman" w:cs="Times New Roman"/>
          <w:b/>
          <w:lang w:eastAsia="ru-RU"/>
        </w:rPr>
        <w:t>ՀԱՍՏԻՔԱՑՈՒՑԱԿ</w:t>
      </w:r>
    </w:p>
    <w:p>
      <w:pPr>
        <w:spacing w:before="120" w:after="360"/>
        <w:ind w:left="1800" w:right="533"/>
        <w:contextualSpacing/>
        <w:rPr>
          <w:rFonts w:ascii="GHEA Grapalat" w:hAnsi="GHEA Grapalat" w:eastAsia="Times New Roman" w:cs="Times New Roman"/>
          <w:b/>
          <w:lang w:val="pt-BR" w:eastAsia="ru-RU"/>
        </w:rPr>
      </w:pPr>
    </w:p>
    <w:tbl>
      <w:tblPr>
        <w:tblStyle w:val="9"/>
        <w:tblW w:w="78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1980"/>
        <w:gridCol w:w="162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0"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  <w:lang w:val="pt-BR"/>
              </w:rPr>
              <w:t>/</w:t>
            </w:r>
            <w:r>
              <w:rPr>
                <w:rFonts w:ascii="GHEA Grapalat" w:hAnsi="GHEA Grapalat"/>
              </w:rPr>
              <w:t>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Հայտատուի կարգավիճակ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</w:rPr>
              <w:t>Աշխատավարձ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սոցիալական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  <w:lang w:val="pt-BR"/>
              </w:rPr>
              <w:t>պ</w:t>
            </w:r>
            <w:r>
              <w:rPr>
                <w:rFonts w:ascii="GHEA Grapalat" w:hAnsi="GHEA Grapalat"/>
              </w:rPr>
              <w:t>ահովությ</w:t>
            </w:r>
            <w:r>
              <w:rPr>
                <w:rFonts w:ascii="GHEA Grapalat" w:hAnsi="GHEA Grapalat"/>
                <w:spacing w:val="20"/>
                <w:lang w:val="pt-BR"/>
              </w:rPr>
              <w:t>ա</w:t>
            </w:r>
            <w:r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վճարներ</w:t>
            </w:r>
          </w:p>
          <w:p>
            <w:pPr>
              <w:ind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դրամ</w:t>
            </w:r>
            <w:r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Հաստիքների քանակ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 աշխատավարձ (հազար դրամ)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</w:tbl>
    <w:p>
      <w:pPr>
        <w:spacing w:before="120" w:after="360"/>
        <w:ind w:left="900" w:right="1075"/>
        <w:jc w:val="center"/>
        <w:rPr>
          <w:rFonts w:ascii="GHEA Grapalat" w:hAnsi="GHEA Grapalat" w:eastAsia="Times New Roman" w:cs="Times New Roman"/>
          <w:b/>
        </w:rPr>
      </w:pPr>
    </w:p>
    <w:p>
      <w:pPr>
        <w:pStyle w:val="45"/>
        <w:widowControl/>
        <w:numPr>
          <w:ilvl w:val="0"/>
          <w:numId w:val="13"/>
        </w:numPr>
        <w:spacing w:before="120" w:after="360" w:line="276" w:lineRule="auto"/>
        <w:ind w:right="1075"/>
        <w:jc w:val="center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 xml:space="preserve"> ՀԵՏԱԶՈՏԱԿԱՆ ԹԵՄԱՅԻ ՖԻՆԱՆՍԱԿԱՆ ՆԱԽԱՀԱՇԻՎ</w:t>
      </w:r>
    </w:p>
    <w:tbl>
      <w:tblPr>
        <w:tblStyle w:val="9"/>
        <w:tblW w:w="7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4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right="-96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Հ/հ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Ֆինանսավորման ծավալները</w:t>
            </w:r>
          </w:p>
          <w:p>
            <w:pPr>
              <w:ind w:left="-206" w:right="-46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(հազ. դրամ)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1.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Աշխատավարձ և սոցիալական ա</w:t>
            </w:r>
            <w:r>
              <w:rPr>
                <w:rFonts w:ascii="GHEA Grapalat" w:hAnsi="GHEA Grapalat" w:eastAsia="Times New Roman" w:cs="Times New Roman"/>
                <w:lang w:val="pt-BR"/>
              </w:rPr>
              <w:t>պ</w:t>
            </w:r>
            <w:r>
              <w:rPr>
                <w:rFonts w:ascii="GHEA Grapalat" w:hAnsi="GHEA Grapalat" w:eastAsia="Times New Roman" w:cs="Times New Roman"/>
              </w:rPr>
              <w:t>ահովությ</w:t>
            </w:r>
            <w:r>
              <w:rPr>
                <w:rFonts w:ascii="GHEA Grapalat" w:hAnsi="GHEA Grapalat" w:eastAsia="Times New Roman" w:cs="Times New Roman"/>
                <w:spacing w:val="20"/>
                <w:lang w:val="pt-BR"/>
              </w:rPr>
              <w:t>ա</w:t>
            </w:r>
            <w:r>
              <w:rPr>
                <w:rFonts w:ascii="GHEA Grapalat" w:hAnsi="GHEA Grapalat" w:eastAsia="Times New Roman" w:cs="Times New Roman"/>
              </w:rPr>
              <w:t>ն վճարներ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2.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Տնտեսական ծախսեր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3.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Այլ ծախսեր</w:t>
            </w:r>
            <w:r>
              <w:rPr>
                <w:rFonts w:ascii="GHEA Grapalat" w:hAnsi="GHEA Grapalat" w:eastAsia="Times New Roman" w:cs="Times New Roman"/>
              </w:rPr>
              <w:t xml:space="preserve">, </w:t>
            </w:r>
            <w:r>
              <w:rPr>
                <w:rFonts w:ascii="GHEA Grapalat" w:hAnsi="GHEA Grapalat" w:eastAsia="Times New Roman" w:cs="Times New Roman"/>
                <w:lang w:val="pt-BR"/>
              </w:rPr>
              <w:t>այդ թվում</w:t>
            </w:r>
            <w:r>
              <w:rPr>
                <w:rFonts w:ascii="GHEA Grapalat" w:hAnsi="GHEA Grapalat" w:eastAsia="Times New Roman" w:cs="Times New Roman"/>
              </w:rPr>
              <w:t>`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ա</w:t>
            </w:r>
            <w:r>
              <w:rPr>
                <w:rFonts w:ascii="GHEA Grapalat" w:hAnsi="GHEA Grapalat" w:eastAsia="Times New Roman" w:cs="Times New Roman"/>
              </w:rPr>
              <w:t>) ն</w:t>
            </w:r>
            <w:r>
              <w:rPr>
                <w:rFonts w:ascii="GHEA Grapalat" w:hAnsi="GHEA Grapalat" w:eastAsia="Times New Roman" w:cs="Times New Roman"/>
                <w:lang w:val="pt-BR"/>
              </w:rPr>
              <w:t>յութեր և միջոցներ</w:t>
            </w:r>
            <w:r>
              <w:rPr>
                <w:rFonts w:ascii="GHEA Grapalat" w:hAnsi="GHEA Grapalat" w:eastAsia="Times New Roman" w:cs="Times New Roman"/>
              </w:rPr>
              <w:t>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բ</w:t>
            </w:r>
            <w:r>
              <w:rPr>
                <w:rFonts w:ascii="GHEA Grapalat" w:hAnsi="GHEA Grapalat" w:eastAsia="Times New Roman" w:cs="Times New Roman"/>
              </w:rPr>
              <w:t>) գործուղումներ,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գ) դաշտային աշխատանքներ,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դ) այլ: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4.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216"/>
              <w:jc w:val="both"/>
              <w:rPr>
                <w:rFonts w:ascii="GHEA Grapalat" w:hAnsi="GHEA Grapalat" w:eastAsia="Times New Roman" w:cs="Times New Roman"/>
                <w:lang w:val="pt-BR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</w:tbl>
    <w:p>
      <w:pPr>
        <w:spacing w:before="600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>Հետազոտական թեմայի ղեկավար՝</w:t>
      </w:r>
      <w:r>
        <w:rPr>
          <w:rFonts w:ascii="GHEA Grapalat" w:hAnsi="GHEA Grapalat" w:eastAsia="Times New Roman" w:cs="Times New Roman"/>
          <w:b/>
        </w:rPr>
        <w:tab/>
      </w:r>
      <w:r>
        <w:rPr>
          <w:rFonts w:ascii="GHEA Grapalat" w:hAnsi="GHEA Grapalat" w:eastAsia="Times New Roman" w:cs="Times New Roman"/>
          <w:b/>
        </w:rPr>
        <w:t>_______________            ______________________</w:t>
      </w:r>
    </w:p>
    <w:p>
      <w:pPr>
        <w:ind w:left="2124" w:firstLine="708"/>
        <w:rPr>
          <w:rFonts w:ascii="GHEA Grapalat" w:hAnsi="GHEA Grapalat" w:eastAsia="Times New Roman" w:cs="Times New Roman"/>
          <w:b/>
          <w:sz w:val="18"/>
          <w:szCs w:val="18"/>
        </w:rPr>
      </w:pPr>
      <w:r>
        <w:rPr>
          <w:rFonts w:ascii="GHEA Grapalat" w:hAnsi="GHEA Grapalat" w:eastAsia="Times New Roman" w:cs="Times New Roman"/>
          <w:b/>
          <w:sz w:val="18"/>
          <w:szCs w:val="18"/>
        </w:rPr>
        <w:t xml:space="preserve">                            (ստորագրություն)</w:t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>(Ա.Ա.Հ.)</w:t>
      </w:r>
    </w:p>
    <w:p>
      <w:pPr>
        <w:rPr>
          <w:rFonts w:ascii="GHEA Grapalat" w:hAnsi="GHEA Grapalat" w:eastAsia="Times New Roman" w:cs="Sylfaen"/>
          <w:b/>
          <w:sz w:val="18"/>
          <w:szCs w:val="18"/>
          <w:lang w:eastAsia="ru-RU"/>
        </w:rPr>
      </w:pPr>
    </w:p>
    <w:p>
      <w:pPr>
        <w:rPr>
          <w:rFonts w:ascii="GHEA Grapalat" w:hAnsi="GHEA Grapalat" w:eastAsia="Times New Roman" w:cs="Sylfaen"/>
          <w:b/>
          <w:lang w:eastAsia="ru-RU"/>
        </w:rPr>
      </w:pPr>
    </w:p>
    <w:p>
      <w:pPr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  <w:b/>
          <w:lang w:eastAsia="ru-RU"/>
        </w:rPr>
        <w:t xml:space="preserve">«____» ________________ 20___ </w:t>
      </w:r>
      <w:r>
        <w:rPr>
          <w:rFonts w:ascii="GHEA Grapalat" w:hAnsi="GHEA Grapalat" w:eastAsia="Times New Roman" w:cs="Sylfaen"/>
          <w:b/>
          <w:lang w:val="ru-RU" w:eastAsia="ru-RU"/>
        </w:rPr>
        <w:t>թ</w:t>
      </w:r>
      <w:r>
        <w:rPr>
          <w:rFonts w:ascii="GHEA Grapalat" w:hAnsi="GHEA Grapalat" w:eastAsia="Times New Roman" w:cs="Sylfaen"/>
          <w:b/>
          <w:lang w:eastAsia="ru-RU"/>
        </w:rPr>
        <w:t>.</w:t>
      </w:r>
      <w:r>
        <w:rPr>
          <w:rFonts w:ascii="GHEA Grapalat" w:hAnsi="GHEA Grapalat" w:eastAsia="Times New Roman" w:cs="Sylfaen"/>
          <w:b/>
          <w:lang w:eastAsia="ru-RU"/>
        </w:rPr>
        <w:tab/>
      </w:r>
      <w:r>
        <w:rPr>
          <w:rFonts w:ascii="GHEA Grapalat" w:hAnsi="GHEA Grapalat" w:eastAsia="Times New Roman" w:cs="Sylfaen"/>
          <w:b/>
          <w:lang w:eastAsia="ru-RU"/>
        </w:rPr>
        <w:tab/>
      </w:r>
      <w:r>
        <w:rPr>
          <w:rFonts w:ascii="GHEA Grapalat" w:hAnsi="GHEA Grapalat" w:eastAsia="Times New Roman" w:cs="Sylfaen"/>
          <w:lang w:eastAsia="ru-RU"/>
        </w:rPr>
        <w:tab/>
      </w:r>
      <w:r>
        <w:rPr>
          <w:rFonts w:ascii="GHEA Grapalat" w:hAnsi="GHEA Grapalat" w:eastAsia="Times New Roman" w:cs="Sylfaen"/>
          <w:lang w:eastAsia="ru-RU"/>
        </w:rPr>
        <w:tab/>
      </w:r>
    </w:p>
    <w:p>
      <w:pPr>
        <w:jc w:val="center"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Times New Roman"/>
          <w:b/>
        </w:rPr>
        <w:br w:type="page"/>
      </w:r>
    </w:p>
    <w:p>
      <w:pPr>
        <w:jc w:val="center"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ՏԵՂԵԿՈՒԹՅՈՒՆՆԵՐ ԿԱՏԱՐՈՂՆԵՐԻ ՄԱՍԻՆ</w:t>
      </w:r>
      <w:r>
        <w:rPr>
          <w:rFonts w:ascii="GHEA Grapalat" w:hAnsi="GHEA Grapalat" w:eastAsia="Times New Roman" w:cs="Sylfaen"/>
          <w:b/>
          <w:vertAlign w:val="superscript"/>
        </w:rPr>
        <w:footnoteReference w:id="0"/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</w:rPr>
      </w:pPr>
    </w:p>
    <w:tbl>
      <w:tblPr>
        <w:tblStyle w:val="9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Ազգանուն, անուն, հայրանուն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Ծննդյան տարեթիվը և ծննդավայրը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Կրթությունը (բուհը, մասնագիտությունը)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Վերջին թեզի ծածկագիրը, պաշտպանության տարեթիվը և վայրը (բացառությամբ բակալավրիատի) ուսանողների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Հայտատուի կարգավիճակը (բակալավրիատի ուսանող, մագիստրանտ, ասպիրանտ)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Հեռախոսը (աշխատանքի, տան, բջջային)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Էլեկտրոնային հասցեն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1.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2.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3.</w:t>
            </w:r>
          </w:p>
        </w:tc>
      </w:tr>
    </w:tbl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lang w:eastAsia="ru-RU"/>
        </w:rPr>
      </w:pP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bCs/>
          <w:lang w:eastAsia="ru-RU"/>
        </w:rPr>
      </w:pP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bCs/>
          <w:lang w:eastAsia="ru-RU"/>
        </w:rPr>
      </w:pPr>
    </w:p>
    <w:p>
      <w:pPr>
        <w:rPr>
          <w:rFonts w:ascii="GHEA Grapalat" w:hAnsi="GHEA Grapalat" w:eastAsia="Times New Roman" w:cs="Times New Roman"/>
        </w:rPr>
      </w:pP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Կատարողի ստորագրությունը ________________________</w:t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Ղեկավարի ստորագրությունը ________________________</w:t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«____» ______________________ 20__ թ.</w:t>
      </w:r>
    </w:p>
    <w:p>
      <w:pPr>
        <w:rPr>
          <w:rFonts w:ascii="GHEA Grapalat" w:hAnsi="GHEA Grapalat"/>
        </w:rPr>
      </w:pPr>
    </w:p>
    <w:p>
      <w:pPr>
        <w:jc w:val="center"/>
        <w:rPr>
          <w:rFonts w:ascii="GHEA Grapalat" w:hAnsi="GHEA Grapalat"/>
          <w:b/>
        </w:rPr>
      </w:pPr>
    </w:p>
    <w:sectPr>
      <w:headerReference r:id="rId5" w:type="even"/>
      <w:pgSz w:w="12240" w:h="15840"/>
      <w:pgMar w:top="720" w:right="720" w:bottom="720" w:left="720" w:header="0" w:footer="3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GHEAGrapalat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/>
  </w:footnote>
  <w:footnote w:type="continuationSeparator" w:id="3">
    <w:p>
      <w:r>
        <w:continuationSeparator/>
      </w:r>
    </w:p>
  </w:footnote>
  <w:footnote w:id="0">
    <w:p>
      <w:pPr>
        <w:pStyle w:val="4"/>
        <w:rPr>
          <w:rFonts w:ascii="GHEA Grapalat" w:hAnsi="GHEA Grapalat"/>
          <w:lang w:val="en-US"/>
        </w:rPr>
      </w:pPr>
      <w:r>
        <w:rPr>
          <w:rStyle w:val="7"/>
        </w:rPr>
        <w:footnoteRef/>
      </w:r>
      <w:r>
        <w:t xml:space="preserve"> </w:t>
      </w:r>
      <w:r>
        <w:rPr>
          <w:rFonts w:ascii="GHEA Grapalat" w:hAnsi="GHEA Grapalat"/>
        </w:rPr>
        <w:t>Լրացվում է յուրաքանչյուր կատարողի համար</w:t>
      </w:r>
      <w:r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468"/>
    <w:multiLevelType w:val="multilevel"/>
    <w:tmpl w:val="078C4468"/>
    <w:lvl w:ilvl="0" w:tentative="0">
      <w:start w:val="1"/>
      <w:numFmt w:val="bullet"/>
      <w:lvlText w:val="-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DB338A6"/>
    <w:multiLevelType w:val="multilevel"/>
    <w:tmpl w:val="0DB338A6"/>
    <w:lvl w:ilvl="0" w:tentative="0">
      <w:start w:val="2"/>
      <w:numFmt w:val="decimal"/>
      <w:lvlText w:val="%1."/>
      <w:lvlJc w:val="left"/>
      <w:rPr>
        <w:rFonts w:hint="default" w:ascii="GHEA Grapalat" w:hAnsi="GHEA Grapalat" w:eastAsia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BEE277F"/>
    <w:multiLevelType w:val="multilevel"/>
    <w:tmpl w:val="1BEE277F"/>
    <w:lvl w:ilvl="0" w:tentative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3779A"/>
    <w:multiLevelType w:val="multilevel"/>
    <w:tmpl w:val="2B33779A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DE84B30"/>
    <w:multiLevelType w:val="multilevel"/>
    <w:tmpl w:val="2DE84B3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 w:cs="Arial"/>
        <w:b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693"/>
    <w:multiLevelType w:val="multilevel"/>
    <w:tmpl w:val="3E366693"/>
    <w:lvl w:ilvl="0" w:tentative="0">
      <w:start w:val="5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6">
    <w:nsid w:val="49AB5937"/>
    <w:multiLevelType w:val="multilevel"/>
    <w:tmpl w:val="49AB5937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default" w:cs="Sylfaen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7">
    <w:nsid w:val="4BFD672D"/>
    <w:multiLevelType w:val="multilevel"/>
    <w:tmpl w:val="4BFD672D"/>
    <w:lvl w:ilvl="0" w:tentative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231D53"/>
    <w:multiLevelType w:val="multilevel"/>
    <w:tmpl w:val="50231D53"/>
    <w:lvl w:ilvl="0" w:tentative="0">
      <w:start w:val="3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9">
    <w:nsid w:val="52C80F00"/>
    <w:multiLevelType w:val="multilevel"/>
    <w:tmpl w:val="52C80F00"/>
    <w:lvl w:ilvl="0" w:tentative="0">
      <w:start w:val="5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10">
    <w:nsid w:val="5F4B7939"/>
    <w:multiLevelType w:val="multilevel"/>
    <w:tmpl w:val="5F4B793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 w:cs="Arial"/>
        <w:b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3320"/>
    <w:multiLevelType w:val="multilevel"/>
    <w:tmpl w:val="69EB3320"/>
    <w:lvl w:ilvl="0" w:tentative="0">
      <w:start w:val="2"/>
      <w:numFmt w:val="decimal"/>
      <w:lvlText w:val="%1."/>
      <w:lvlJc w:val="left"/>
      <w:pPr>
        <w:ind w:left="555" w:hanging="555"/>
      </w:pPr>
      <w:rPr>
        <w:rFonts w:hint="default" w:cs="Sylfaen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12">
    <w:nsid w:val="7D812190"/>
    <w:multiLevelType w:val="multilevel"/>
    <w:tmpl w:val="7D812190"/>
    <w:lvl w:ilvl="0" w:tentative="0">
      <w:start w:val="0"/>
      <w:numFmt w:val="bullet"/>
      <w:lvlText w:val="-"/>
      <w:lvlJc w:val="left"/>
      <w:pPr>
        <w:ind w:left="1353" w:hanging="360"/>
      </w:pPr>
      <w:rPr>
        <w:rFonts w:hint="default" w:ascii="GHEA Grapalat" w:hAnsi="GHEA Grapalat" w:eastAsiaTheme="minorHAnsi" w:cstheme="minorBidi"/>
      </w:rPr>
    </w:lvl>
    <w:lvl w:ilvl="1" w:tentative="0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81"/>
  <w:drawingGridVerticalSpacing w:val="181"/>
  <w:characterSpacingControl w:val="compressPunctuation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F1718E"/>
    <w:rsid w:val="00003A8C"/>
    <w:rsid w:val="00007F05"/>
    <w:rsid w:val="00015B7A"/>
    <w:rsid w:val="000421CF"/>
    <w:rsid w:val="00064629"/>
    <w:rsid w:val="0006508E"/>
    <w:rsid w:val="00072301"/>
    <w:rsid w:val="00072ADA"/>
    <w:rsid w:val="000773A3"/>
    <w:rsid w:val="00097D1E"/>
    <w:rsid w:val="000A0404"/>
    <w:rsid w:val="000A0E1A"/>
    <w:rsid w:val="000B6E87"/>
    <w:rsid w:val="000B7E00"/>
    <w:rsid w:val="000D50F1"/>
    <w:rsid w:val="000E580C"/>
    <w:rsid w:val="000E7FAE"/>
    <w:rsid w:val="000F4E24"/>
    <w:rsid w:val="000F55EB"/>
    <w:rsid w:val="000F75D8"/>
    <w:rsid w:val="00107878"/>
    <w:rsid w:val="0012269D"/>
    <w:rsid w:val="0012378C"/>
    <w:rsid w:val="001373E0"/>
    <w:rsid w:val="00165FA9"/>
    <w:rsid w:val="00187CD2"/>
    <w:rsid w:val="001A7747"/>
    <w:rsid w:val="001B20A4"/>
    <w:rsid w:val="001B3FEA"/>
    <w:rsid w:val="001C0715"/>
    <w:rsid w:val="001C268C"/>
    <w:rsid w:val="001D2A87"/>
    <w:rsid w:val="001F243B"/>
    <w:rsid w:val="002104C5"/>
    <w:rsid w:val="002223AF"/>
    <w:rsid w:val="0023431B"/>
    <w:rsid w:val="0023433E"/>
    <w:rsid w:val="00242D6F"/>
    <w:rsid w:val="00250DEA"/>
    <w:rsid w:val="0025266B"/>
    <w:rsid w:val="00274396"/>
    <w:rsid w:val="00303CC2"/>
    <w:rsid w:val="00304199"/>
    <w:rsid w:val="00320281"/>
    <w:rsid w:val="003222B4"/>
    <w:rsid w:val="003306FE"/>
    <w:rsid w:val="0035364D"/>
    <w:rsid w:val="0038431B"/>
    <w:rsid w:val="00385338"/>
    <w:rsid w:val="003861A6"/>
    <w:rsid w:val="00387C98"/>
    <w:rsid w:val="003A0FE4"/>
    <w:rsid w:val="003D0353"/>
    <w:rsid w:val="003E06E0"/>
    <w:rsid w:val="003E6EEE"/>
    <w:rsid w:val="003F3430"/>
    <w:rsid w:val="004262CB"/>
    <w:rsid w:val="004272AA"/>
    <w:rsid w:val="00446468"/>
    <w:rsid w:val="00452E2E"/>
    <w:rsid w:val="00455CB6"/>
    <w:rsid w:val="004575D6"/>
    <w:rsid w:val="00462B10"/>
    <w:rsid w:val="004670B1"/>
    <w:rsid w:val="00467CB6"/>
    <w:rsid w:val="00475B41"/>
    <w:rsid w:val="004A456C"/>
    <w:rsid w:val="004C49C5"/>
    <w:rsid w:val="004D519F"/>
    <w:rsid w:val="004F14D9"/>
    <w:rsid w:val="00507B89"/>
    <w:rsid w:val="005119CE"/>
    <w:rsid w:val="0052158B"/>
    <w:rsid w:val="00532B5B"/>
    <w:rsid w:val="00545FC9"/>
    <w:rsid w:val="005605FA"/>
    <w:rsid w:val="005629BD"/>
    <w:rsid w:val="005665D1"/>
    <w:rsid w:val="0057687D"/>
    <w:rsid w:val="00577D45"/>
    <w:rsid w:val="00593726"/>
    <w:rsid w:val="005B26C7"/>
    <w:rsid w:val="005B4066"/>
    <w:rsid w:val="005D6F7F"/>
    <w:rsid w:val="005D73C5"/>
    <w:rsid w:val="005D7C85"/>
    <w:rsid w:val="005E15D6"/>
    <w:rsid w:val="00631EDD"/>
    <w:rsid w:val="00640CAA"/>
    <w:rsid w:val="0064350A"/>
    <w:rsid w:val="00645A78"/>
    <w:rsid w:val="00653624"/>
    <w:rsid w:val="0065527F"/>
    <w:rsid w:val="006615BF"/>
    <w:rsid w:val="00667F14"/>
    <w:rsid w:val="00681111"/>
    <w:rsid w:val="006C31C8"/>
    <w:rsid w:val="006E5E51"/>
    <w:rsid w:val="006F2469"/>
    <w:rsid w:val="006F651A"/>
    <w:rsid w:val="00701A24"/>
    <w:rsid w:val="00701B92"/>
    <w:rsid w:val="00724F28"/>
    <w:rsid w:val="00735641"/>
    <w:rsid w:val="00736DD4"/>
    <w:rsid w:val="00742F17"/>
    <w:rsid w:val="00747019"/>
    <w:rsid w:val="00761937"/>
    <w:rsid w:val="007772E0"/>
    <w:rsid w:val="007B2E5A"/>
    <w:rsid w:val="007B52AB"/>
    <w:rsid w:val="007D2BCD"/>
    <w:rsid w:val="007D446D"/>
    <w:rsid w:val="007E5D53"/>
    <w:rsid w:val="007F10C3"/>
    <w:rsid w:val="0083354B"/>
    <w:rsid w:val="008374EE"/>
    <w:rsid w:val="0084510B"/>
    <w:rsid w:val="00860C1B"/>
    <w:rsid w:val="00866C00"/>
    <w:rsid w:val="0087795B"/>
    <w:rsid w:val="008D5E4B"/>
    <w:rsid w:val="008E5C44"/>
    <w:rsid w:val="008F5AEA"/>
    <w:rsid w:val="0091296A"/>
    <w:rsid w:val="009568D0"/>
    <w:rsid w:val="009610B1"/>
    <w:rsid w:val="009706DE"/>
    <w:rsid w:val="00977A4B"/>
    <w:rsid w:val="009A5CEA"/>
    <w:rsid w:val="009B7E4B"/>
    <w:rsid w:val="009C4652"/>
    <w:rsid w:val="009F2B57"/>
    <w:rsid w:val="00A35AF9"/>
    <w:rsid w:val="00A45DFD"/>
    <w:rsid w:val="00A72C8B"/>
    <w:rsid w:val="00A72DC4"/>
    <w:rsid w:val="00A97EF8"/>
    <w:rsid w:val="00AB6E74"/>
    <w:rsid w:val="00AC25C5"/>
    <w:rsid w:val="00B3030F"/>
    <w:rsid w:val="00B7360C"/>
    <w:rsid w:val="00B84B29"/>
    <w:rsid w:val="00BA5D3A"/>
    <w:rsid w:val="00BB25EC"/>
    <w:rsid w:val="00BB67B8"/>
    <w:rsid w:val="00BC470E"/>
    <w:rsid w:val="00BE5FEA"/>
    <w:rsid w:val="00BE6174"/>
    <w:rsid w:val="00BF3BA1"/>
    <w:rsid w:val="00C15044"/>
    <w:rsid w:val="00C22967"/>
    <w:rsid w:val="00C5680A"/>
    <w:rsid w:val="00C6797C"/>
    <w:rsid w:val="00C75B96"/>
    <w:rsid w:val="00C867B3"/>
    <w:rsid w:val="00C90AAC"/>
    <w:rsid w:val="00CC1CFB"/>
    <w:rsid w:val="00CD3EDD"/>
    <w:rsid w:val="00CE34FD"/>
    <w:rsid w:val="00CF372A"/>
    <w:rsid w:val="00CF739D"/>
    <w:rsid w:val="00D13F60"/>
    <w:rsid w:val="00D32B20"/>
    <w:rsid w:val="00D3510A"/>
    <w:rsid w:val="00D37E65"/>
    <w:rsid w:val="00D470AC"/>
    <w:rsid w:val="00D51003"/>
    <w:rsid w:val="00D62241"/>
    <w:rsid w:val="00DB31B8"/>
    <w:rsid w:val="00DF275B"/>
    <w:rsid w:val="00DF4BE1"/>
    <w:rsid w:val="00DF7BDB"/>
    <w:rsid w:val="00E07E86"/>
    <w:rsid w:val="00E21D79"/>
    <w:rsid w:val="00E42ACC"/>
    <w:rsid w:val="00E47343"/>
    <w:rsid w:val="00E63879"/>
    <w:rsid w:val="00E6489E"/>
    <w:rsid w:val="00E6559D"/>
    <w:rsid w:val="00ED03BF"/>
    <w:rsid w:val="00ED1AAD"/>
    <w:rsid w:val="00F1718E"/>
    <w:rsid w:val="00F87D26"/>
    <w:rsid w:val="00F93B19"/>
    <w:rsid w:val="00FB0848"/>
    <w:rsid w:val="00FF3292"/>
    <w:rsid w:val="3C1E30E6"/>
    <w:rsid w:val="6ED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36"/>
    <w:unhideWhenUsed/>
    <w:qFormat/>
    <w:uiPriority w:val="99"/>
    <w:pPr>
      <w:tabs>
        <w:tab w:val="center" w:pos="4844"/>
        <w:tab w:val="right" w:pos="9689"/>
      </w:tabs>
    </w:pPr>
  </w:style>
  <w:style w:type="paragraph" w:styleId="4">
    <w:name w:val="footnote text"/>
    <w:basedOn w:val="1"/>
    <w:link w:val="46"/>
    <w:semiHidden/>
    <w:unhideWhenUsed/>
    <w:uiPriority w:val="99"/>
    <w:rPr>
      <w:sz w:val="20"/>
      <w:szCs w:val="20"/>
    </w:rPr>
  </w:style>
  <w:style w:type="paragraph" w:styleId="5">
    <w:name w:val="header"/>
    <w:basedOn w:val="1"/>
    <w:link w:val="35"/>
    <w:unhideWhenUsed/>
    <w:qFormat/>
    <w:uiPriority w:val="99"/>
    <w:pPr>
      <w:tabs>
        <w:tab w:val="center" w:pos="4844"/>
        <w:tab w:val="right" w:pos="9689"/>
      </w:tabs>
    </w:pPr>
  </w:style>
  <w:style w:type="character" w:styleId="7">
    <w:name w:val="footnote reference"/>
    <w:basedOn w:val="6"/>
    <w:semiHidden/>
    <w:unhideWhenUsed/>
    <w:uiPriority w:val="0"/>
    <w:rPr>
      <w:vertAlign w:val="superscript"/>
    </w:rPr>
  </w:style>
  <w:style w:type="character" w:styleId="8">
    <w:name w:val="Hyperlink"/>
    <w:basedOn w:val="6"/>
    <w:uiPriority w:val="0"/>
    <w:rPr>
      <w:color w:val="0066CC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ody text (3)_"/>
    <w:basedOn w:val="6"/>
    <w:link w:val="12"/>
    <w:qFormat/>
    <w:uiPriority w:val="0"/>
    <w:rPr>
      <w:rFonts w:ascii="Arial" w:hAnsi="Arial" w:eastAsia="Arial" w:cs="Arial"/>
      <w:b/>
      <w:bCs/>
      <w:u w:val="none"/>
    </w:rPr>
  </w:style>
  <w:style w:type="paragraph" w:customStyle="1" w:styleId="12">
    <w:name w:val="Body text (3)1"/>
    <w:basedOn w:val="1"/>
    <w:link w:val="11"/>
    <w:qFormat/>
    <w:uiPriority w:val="0"/>
    <w:pPr>
      <w:shd w:val="clear" w:color="auto" w:fill="FFFFFF"/>
      <w:spacing w:after="900" w:line="360" w:lineRule="exact"/>
      <w:jc w:val="center"/>
    </w:pPr>
    <w:rPr>
      <w:rFonts w:ascii="Arial" w:hAnsi="Arial" w:eastAsia="Arial" w:cs="Arial"/>
      <w:b/>
      <w:bCs/>
    </w:rPr>
  </w:style>
  <w:style w:type="character" w:customStyle="1" w:styleId="13">
    <w:name w:val="Body text (3)"/>
    <w:basedOn w:val="11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14">
    <w:name w:val="Header or footer_"/>
    <w:basedOn w:val="6"/>
    <w:link w:val="15"/>
    <w:qFormat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15">
    <w:name w:val="Header or footer1"/>
    <w:basedOn w:val="1"/>
    <w:link w:val="14"/>
    <w:uiPriority w:val="0"/>
    <w:pPr>
      <w:shd w:val="clear" w:color="auto" w:fill="FFFFFF"/>
      <w:spacing w:line="0" w:lineRule="atLeast"/>
    </w:pPr>
    <w:rPr>
      <w:rFonts w:ascii="Arial" w:hAnsi="Arial" w:eastAsia="Arial" w:cs="Arial"/>
      <w:b/>
      <w:bCs/>
      <w:sz w:val="21"/>
      <w:szCs w:val="21"/>
    </w:rPr>
  </w:style>
  <w:style w:type="character" w:customStyle="1" w:styleId="16">
    <w:name w:val="Header or footer + 12 pt"/>
    <w:basedOn w:val="14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17">
    <w:name w:val="Body text (2)_"/>
    <w:basedOn w:val="6"/>
    <w:link w:val="18"/>
    <w:uiPriority w:val="0"/>
    <w:rPr>
      <w:rFonts w:ascii="Arial" w:hAnsi="Arial" w:eastAsia="Arial" w:cs="Arial"/>
      <w:sz w:val="21"/>
      <w:szCs w:val="21"/>
      <w:u w:val="none"/>
    </w:rPr>
  </w:style>
  <w:style w:type="paragraph" w:customStyle="1" w:styleId="18">
    <w:name w:val="Body text (2)1"/>
    <w:basedOn w:val="1"/>
    <w:link w:val="17"/>
    <w:qFormat/>
    <w:uiPriority w:val="0"/>
    <w:pPr>
      <w:shd w:val="clear" w:color="auto" w:fill="FFFFFF"/>
      <w:spacing w:before="900" w:after="180" w:line="442" w:lineRule="exact"/>
      <w:ind w:hanging="720"/>
      <w:jc w:val="both"/>
    </w:pPr>
    <w:rPr>
      <w:rFonts w:ascii="Arial" w:hAnsi="Arial" w:eastAsia="Arial" w:cs="Arial"/>
      <w:sz w:val="21"/>
      <w:szCs w:val="21"/>
    </w:rPr>
  </w:style>
  <w:style w:type="character" w:customStyle="1" w:styleId="19">
    <w:name w:val="Heading #1_"/>
    <w:basedOn w:val="6"/>
    <w:link w:val="20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20">
    <w:name w:val="Heading #1"/>
    <w:basedOn w:val="1"/>
    <w:link w:val="19"/>
    <w:qFormat/>
    <w:uiPriority w:val="0"/>
    <w:pPr>
      <w:shd w:val="clear" w:color="auto" w:fill="FFFFFF"/>
      <w:spacing w:before="180" w:line="437" w:lineRule="exact"/>
      <w:ind w:hanging="380"/>
      <w:outlineLvl w:val="0"/>
    </w:pPr>
    <w:rPr>
      <w:rFonts w:ascii="Arial" w:hAnsi="Arial" w:eastAsia="Arial" w:cs="Arial"/>
      <w:b/>
      <w:bCs/>
      <w:sz w:val="21"/>
      <w:szCs w:val="21"/>
    </w:rPr>
  </w:style>
  <w:style w:type="character" w:customStyle="1" w:styleId="21">
    <w:name w:val="Body text (2) + Bold"/>
    <w:basedOn w:val="17"/>
    <w:qFormat/>
    <w:uiPriority w:val="0"/>
    <w:rPr>
      <w:rFonts w:ascii="Arial" w:hAnsi="Arial" w:eastAsia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2">
    <w:name w:val="Body text (4)_"/>
    <w:basedOn w:val="6"/>
    <w:link w:val="23"/>
    <w:qFormat/>
    <w:uiPriority w:val="0"/>
    <w:rPr>
      <w:rFonts w:ascii="Arial" w:hAnsi="Arial" w:eastAsia="Arial" w:cs="Arial"/>
      <w:b/>
      <w:bCs/>
      <w:i/>
      <w:iCs/>
      <w:sz w:val="21"/>
      <w:szCs w:val="21"/>
      <w:u w:val="none"/>
    </w:rPr>
  </w:style>
  <w:style w:type="paragraph" w:customStyle="1" w:styleId="23">
    <w:name w:val="Body text (4)"/>
    <w:basedOn w:val="1"/>
    <w:link w:val="22"/>
    <w:qFormat/>
    <w:uiPriority w:val="0"/>
    <w:pPr>
      <w:shd w:val="clear" w:color="auto" w:fill="FFFFFF"/>
      <w:spacing w:line="442" w:lineRule="exact"/>
      <w:jc w:val="both"/>
    </w:pPr>
    <w:rPr>
      <w:rFonts w:ascii="Arial" w:hAnsi="Arial" w:eastAsia="Arial" w:cs="Arial"/>
      <w:b/>
      <w:bCs/>
      <w:i/>
      <w:iCs/>
      <w:sz w:val="21"/>
      <w:szCs w:val="21"/>
    </w:rPr>
  </w:style>
  <w:style w:type="character" w:customStyle="1" w:styleId="24">
    <w:name w:val="Body text (4) + Not Bold"/>
    <w:basedOn w:val="22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5">
    <w:name w:val="Header or footer"/>
    <w:basedOn w:val="14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6">
    <w:name w:val="Body text (2) + Bold1"/>
    <w:basedOn w:val="17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7">
    <w:name w:val="Header or footer + 12 pt1"/>
    <w:basedOn w:val="14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28">
    <w:name w:val="Body text (2)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9">
    <w:name w:val="Body text (5)_"/>
    <w:basedOn w:val="6"/>
    <w:link w:val="30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30">
    <w:name w:val="Body text (5)1"/>
    <w:basedOn w:val="1"/>
    <w:link w:val="29"/>
    <w:qFormat/>
    <w:uiPriority w:val="0"/>
    <w:pPr>
      <w:shd w:val="clear" w:color="auto" w:fill="FFFFFF"/>
      <w:spacing w:before="300" w:line="442" w:lineRule="exact"/>
      <w:ind w:hanging="360"/>
      <w:jc w:val="both"/>
    </w:pPr>
    <w:rPr>
      <w:rFonts w:ascii="Arial" w:hAnsi="Arial" w:eastAsia="Arial" w:cs="Arial"/>
      <w:b/>
      <w:bCs/>
      <w:sz w:val="21"/>
      <w:szCs w:val="21"/>
    </w:rPr>
  </w:style>
  <w:style w:type="character" w:customStyle="1" w:styleId="31">
    <w:name w:val="Body text (5)"/>
    <w:basedOn w:val="29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32">
    <w:name w:val="Body text (2) + Bold2"/>
    <w:basedOn w:val="17"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33">
    <w:name w:val="Body text (2) + 7.5 pt"/>
    <w:basedOn w:val="17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5"/>
      <w:szCs w:val="15"/>
      <w:u w:val="none"/>
      <w:lang w:val="hy-AM" w:eastAsia="hy-AM" w:bidi="hy-AM"/>
    </w:rPr>
  </w:style>
  <w:style w:type="character" w:customStyle="1" w:styleId="34">
    <w:name w:val="Body text (2) + 8.5 pt"/>
    <w:basedOn w:val="17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35">
    <w:name w:val="Header Char"/>
    <w:basedOn w:val="6"/>
    <w:link w:val="5"/>
    <w:uiPriority w:val="99"/>
    <w:rPr>
      <w:color w:val="000000"/>
    </w:rPr>
  </w:style>
  <w:style w:type="character" w:customStyle="1" w:styleId="36">
    <w:name w:val="Footer Char"/>
    <w:basedOn w:val="6"/>
    <w:link w:val="3"/>
    <w:qFormat/>
    <w:uiPriority w:val="99"/>
    <w:rPr>
      <w:color w:val="000000"/>
    </w:rPr>
  </w:style>
  <w:style w:type="character" w:customStyle="1" w:styleId="37">
    <w:name w:val="Table caption Exact"/>
    <w:basedOn w:val="6"/>
    <w:link w:val="38"/>
    <w:locked/>
    <w:uiPriority w:val="0"/>
    <w:rPr>
      <w:rFonts w:ascii="Segoe UI" w:hAnsi="Segoe UI" w:eastAsia="Segoe UI" w:cs="Segoe UI"/>
      <w:b/>
      <w:bCs/>
      <w:sz w:val="21"/>
      <w:szCs w:val="21"/>
      <w:shd w:val="clear" w:color="auto" w:fill="FFFFFF"/>
    </w:rPr>
  </w:style>
  <w:style w:type="paragraph" w:customStyle="1" w:styleId="38">
    <w:name w:val="Table caption"/>
    <w:basedOn w:val="1"/>
    <w:link w:val="37"/>
    <w:uiPriority w:val="0"/>
    <w:pPr>
      <w:shd w:val="clear" w:color="auto" w:fill="FFFFFF"/>
      <w:spacing w:line="0" w:lineRule="atLeast"/>
    </w:pPr>
    <w:rPr>
      <w:rFonts w:ascii="Segoe UI" w:hAnsi="Segoe UI" w:eastAsia="Segoe UI" w:cs="Segoe UI"/>
      <w:b/>
      <w:bCs/>
      <w:color w:val="auto"/>
      <w:sz w:val="21"/>
      <w:szCs w:val="21"/>
    </w:rPr>
  </w:style>
  <w:style w:type="character" w:customStyle="1" w:styleId="39">
    <w:name w:val="Picture caption_"/>
    <w:basedOn w:val="6"/>
    <w:link w:val="40"/>
    <w:qFormat/>
    <w:locked/>
    <w:uiPriority w:val="0"/>
    <w:rPr>
      <w:rFonts w:ascii="Segoe UI" w:hAnsi="Segoe UI" w:eastAsia="Segoe UI" w:cs="Segoe UI"/>
      <w:sz w:val="21"/>
      <w:szCs w:val="21"/>
      <w:shd w:val="clear" w:color="auto" w:fill="FFFFFF"/>
    </w:rPr>
  </w:style>
  <w:style w:type="paragraph" w:customStyle="1" w:styleId="40">
    <w:name w:val="Picture caption"/>
    <w:basedOn w:val="1"/>
    <w:link w:val="39"/>
    <w:qFormat/>
    <w:uiPriority w:val="0"/>
    <w:pPr>
      <w:shd w:val="clear" w:color="auto" w:fill="FFFFFF"/>
      <w:spacing w:line="0" w:lineRule="atLeast"/>
    </w:pPr>
    <w:rPr>
      <w:rFonts w:ascii="Segoe UI" w:hAnsi="Segoe UI" w:eastAsia="Segoe UI" w:cs="Segoe UI"/>
      <w:color w:val="auto"/>
      <w:sz w:val="21"/>
      <w:szCs w:val="21"/>
    </w:rPr>
  </w:style>
  <w:style w:type="character" w:customStyle="1" w:styleId="41">
    <w:name w:val="Body text (3) Exact"/>
    <w:basedOn w:val="6"/>
    <w:qFormat/>
    <w:uiPriority w:val="0"/>
    <w:rPr>
      <w:rFonts w:hint="default" w:ascii="Segoe UI" w:hAnsi="Segoe UI" w:eastAsia="Segoe UI" w:cs="Segoe UI"/>
      <w:b/>
      <w:bCs/>
      <w:sz w:val="21"/>
      <w:szCs w:val="21"/>
      <w:u w:val="none"/>
    </w:rPr>
  </w:style>
  <w:style w:type="character" w:customStyle="1" w:styleId="42">
    <w:name w:val="Body text (2) Exact"/>
    <w:basedOn w:val="6"/>
    <w:uiPriority w:val="0"/>
    <w:rPr>
      <w:rFonts w:hint="default" w:ascii="Segoe UI" w:hAnsi="Segoe UI" w:eastAsia="Segoe UI" w:cs="Segoe UI"/>
      <w:sz w:val="21"/>
      <w:szCs w:val="21"/>
      <w:u w:val="none"/>
    </w:rPr>
  </w:style>
  <w:style w:type="character" w:customStyle="1" w:styleId="43">
    <w:name w:val="Body text (2) + 11 pt"/>
    <w:basedOn w:val="6"/>
    <w:qFormat/>
    <w:uiPriority w:val="0"/>
    <w:rPr>
      <w:rFonts w:hint="default" w:ascii="Segoe UI" w:hAnsi="Segoe UI" w:eastAsia="Segoe UI" w:cs="Segoe UI"/>
      <w:b/>
      <w:bCs/>
      <w:color w:val="000000"/>
      <w:spacing w:val="1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44">
    <w:name w:val="Balloon Text Char"/>
    <w:basedOn w:val="6"/>
    <w:link w:val="2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Footnote Text Char"/>
    <w:basedOn w:val="6"/>
    <w:link w:val="4"/>
    <w:semiHidden/>
    <w:qFormat/>
    <w:uiPriority w:val="99"/>
    <w:rPr>
      <w:color w:val="000000"/>
      <w:sz w:val="20"/>
      <w:szCs w:val="20"/>
    </w:rPr>
  </w:style>
  <w:style w:type="table" w:customStyle="1" w:styleId="47">
    <w:name w:val="Table Grid11"/>
    <w:basedOn w:val="9"/>
    <w:uiPriority w:val="59"/>
    <w:pPr>
      <w:widowControl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9A408-A396-418E-8355-CE2A6D8B5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4071</Words>
  <Characters>23207</Characters>
  <Lines>193</Lines>
  <Paragraphs>54</Paragraphs>
  <TotalTime>1</TotalTime>
  <ScaleCrop>false</ScaleCrop>
  <LinksUpToDate>false</LinksUpToDate>
  <CharactersWithSpaces>27224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2019-09-13T12:32:00Z</dcterms:created>
  <dc:creator>ANIE</dc:creator>
  <cp:lastModifiedBy>ANIE</cp:lastModifiedBy>
  <dcterms:modified xsi:type="dcterms:W3CDTF">2020-04-17T12:27:46Z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